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564B" w14:textId="55F1E8BE" w:rsidR="00091DBD" w:rsidRPr="00B344A2" w:rsidRDefault="00091DBD" w:rsidP="00C86FB0">
      <w:pPr>
        <w:autoSpaceDE w:val="0"/>
        <w:autoSpaceDN w:val="0"/>
        <w:adjustRightInd w:val="0"/>
        <w:spacing w:after="200" w:line="276" w:lineRule="auto"/>
        <w:jc w:val="center"/>
        <w:rPr>
          <w:rFonts w:ascii="Times-Bold" w:hAnsi="Times-Bold" w:cs="Times-Bold"/>
          <w:b/>
          <w:bCs/>
          <w:color w:val="000000"/>
          <w:sz w:val="28"/>
          <w:szCs w:val="28"/>
        </w:rPr>
      </w:pPr>
      <w:r w:rsidRPr="003D5507">
        <w:rPr>
          <w:rFonts w:cs="Arial"/>
          <w:b/>
          <w:bCs/>
          <w:color w:val="000000"/>
          <w:sz w:val="24"/>
        </w:rPr>
        <w:t>ALLEGATO</w:t>
      </w:r>
      <w:r>
        <w:rPr>
          <w:rFonts w:ascii="Times-Bold" w:hAnsi="Times-Bold" w:cs="Times-Bold"/>
          <w:b/>
          <w:bCs/>
          <w:color w:val="000000"/>
          <w:sz w:val="28"/>
          <w:szCs w:val="28"/>
        </w:rPr>
        <w:t xml:space="preserve"> </w:t>
      </w:r>
      <w:r>
        <w:rPr>
          <w:rFonts w:cs="Arial"/>
          <w:b/>
          <w:bCs/>
          <w:color w:val="000000"/>
          <w:sz w:val="24"/>
        </w:rPr>
        <w:t>2</w:t>
      </w:r>
      <w:r w:rsidRPr="003D5507">
        <w:rPr>
          <w:rFonts w:cs="Arial"/>
          <w:b/>
          <w:bCs/>
          <w:color w:val="000000"/>
          <w:sz w:val="24"/>
        </w:rPr>
        <w:t xml:space="preserve"> POS C.1e</w:t>
      </w:r>
    </w:p>
    <w:p w14:paraId="722A3C48" w14:textId="77777777" w:rsidR="00091DBD" w:rsidRPr="00F3689D" w:rsidRDefault="00091DBD" w:rsidP="00C86FB0">
      <w:pPr>
        <w:autoSpaceDE w:val="0"/>
        <w:autoSpaceDN w:val="0"/>
        <w:adjustRightInd w:val="0"/>
        <w:spacing w:after="200" w:line="276" w:lineRule="auto"/>
        <w:jc w:val="center"/>
        <w:rPr>
          <w:rFonts w:cs="Arial"/>
          <w:b/>
          <w:bCs/>
          <w:color w:val="2C5BAF"/>
          <w:sz w:val="24"/>
        </w:rPr>
      </w:pPr>
      <w:r w:rsidRPr="00F3689D">
        <w:rPr>
          <w:rFonts w:cs="Arial"/>
          <w:b/>
          <w:bCs/>
          <w:color w:val="2C5BAF"/>
          <w:sz w:val="24"/>
        </w:rPr>
        <w:t xml:space="preserve">Contenuti minimi </w:t>
      </w:r>
      <w:r>
        <w:rPr>
          <w:rFonts w:cs="Arial"/>
          <w:b/>
          <w:bCs/>
          <w:color w:val="2C5BAF"/>
          <w:sz w:val="24"/>
        </w:rPr>
        <w:t>Disciplinare</w:t>
      </w:r>
      <w:r w:rsidRPr="00F3689D">
        <w:rPr>
          <w:rFonts w:cs="Arial"/>
          <w:b/>
          <w:bCs/>
          <w:color w:val="2C5BAF"/>
          <w:sz w:val="24"/>
        </w:rPr>
        <w:t xml:space="preserve"> (Opere Pubbliche e acquisizione di beni e servizi)</w:t>
      </w:r>
      <w:bookmarkStart w:id="0" w:name="_GoBack"/>
      <w:bookmarkEnd w:id="0"/>
    </w:p>
    <w:p w14:paraId="59578978" w14:textId="77777777" w:rsidR="00091DBD" w:rsidRPr="00B2244C" w:rsidRDefault="00091DBD" w:rsidP="009B5E31">
      <w:pPr>
        <w:autoSpaceDE w:val="0"/>
        <w:autoSpaceDN w:val="0"/>
        <w:adjustRightInd w:val="0"/>
        <w:spacing w:before="120" w:after="120" w:line="276" w:lineRule="auto"/>
        <w:ind w:left="142" w:right="284"/>
        <w:rPr>
          <w:rFonts w:cs="Arial"/>
          <w:color w:val="000000"/>
          <w:sz w:val="20"/>
          <w:szCs w:val="20"/>
        </w:rPr>
      </w:pPr>
      <w:r>
        <w:rPr>
          <w:rFonts w:cs="Arial"/>
          <w:color w:val="000000"/>
          <w:sz w:val="20"/>
          <w:szCs w:val="20"/>
        </w:rPr>
        <w:t>Il Disciplinare regolante i rapporti tra Regione Puglia e Beneficiario</w:t>
      </w:r>
      <w:r w:rsidRPr="00B2244C">
        <w:rPr>
          <w:rFonts w:cs="Arial"/>
          <w:color w:val="000000"/>
          <w:sz w:val="20"/>
          <w:szCs w:val="20"/>
        </w:rPr>
        <w:t xml:space="preserve"> contiene</w:t>
      </w:r>
      <w:r>
        <w:rPr>
          <w:rFonts w:cs="Arial"/>
          <w:color w:val="000000"/>
          <w:sz w:val="20"/>
          <w:szCs w:val="20"/>
        </w:rPr>
        <w:t>, almeno,</w:t>
      </w:r>
      <w:r w:rsidRPr="00B2244C">
        <w:rPr>
          <w:rFonts w:cs="Arial"/>
          <w:color w:val="000000"/>
          <w:sz w:val="20"/>
          <w:szCs w:val="20"/>
        </w:rPr>
        <w:t xml:space="preserve"> le seguenti informazioni.</w:t>
      </w:r>
    </w:p>
    <w:p w14:paraId="0E41AF6B" w14:textId="3B1F90F6" w:rsidR="00B344A2" w:rsidRDefault="00807839" w:rsidP="009B5E31">
      <w:pPr>
        <w:pStyle w:val="Paragrafoelenco"/>
        <w:numPr>
          <w:ilvl w:val="0"/>
          <w:numId w:val="29"/>
        </w:numPr>
        <w:autoSpaceDE w:val="0"/>
        <w:autoSpaceDN w:val="0"/>
        <w:adjustRightInd w:val="0"/>
        <w:spacing w:before="120" w:after="120" w:line="276" w:lineRule="auto"/>
        <w:ind w:left="499" w:hanging="357"/>
        <w:rPr>
          <w:rFonts w:cs="Arial"/>
          <w:color w:val="000000"/>
          <w:sz w:val="20"/>
          <w:szCs w:val="20"/>
        </w:rPr>
      </w:pPr>
      <w:r w:rsidRPr="00807839">
        <w:rPr>
          <w:rFonts w:cs="Arial"/>
          <w:color w:val="000000"/>
          <w:sz w:val="20"/>
          <w:szCs w:val="20"/>
        </w:rPr>
        <w:t>Generalizzazione delle Parti sottoscrittrici il Disciplinare</w:t>
      </w:r>
      <w:r w:rsidR="00C86FB0">
        <w:rPr>
          <w:rFonts w:cs="Arial"/>
          <w:color w:val="000000"/>
          <w:sz w:val="20"/>
          <w:szCs w:val="20"/>
        </w:rPr>
        <w:t>.</w:t>
      </w:r>
    </w:p>
    <w:p w14:paraId="08F341CA" w14:textId="45090B2D" w:rsidR="00807839" w:rsidRPr="00807839" w:rsidRDefault="00807839" w:rsidP="009B5E31">
      <w:pPr>
        <w:pStyle w:val="Paragrafoelenco"/>
        <w:widowControl/>
        <w:numPr>
          <w:ilvl w:val="0"/>
          <w:numId w:val="29"/>
        </w:numPr>
        <w:spacing w:before="120" w:after="120" w:line="276" w:lineRule="auto"/>
        <w:ind w:left="499" w:right="284" w:hanging="357"/>
        <w:rPr>
          <w:rFonts w:cs="Arial"/>
          <w:color w:val="000000"/>
          <w:sz w:val="20"/>
          <w:szCs w:val="20"/>
        </w:rPr>
      </w:pPr>
      <w:r>
        <w:rPr>
          <w:rFonts w:cs="Arial"/>
          <w:color w:val="000000"/>
          <w:sz w:val="20"/>
          <w:szCs w:val="20"/>
        </w:rPr>
        <w:t xml:space="preserve">Atti regionali di riferimento (Deliberazione di Giunta Regionale con cui si è </w:t>
      </w:r>
      <w:r w:rsidRPr="00807839">
        <w:rPr>
          <w:rFonts w:cs="Arial"/>
          <w:color w:val="000000"/>
          <w:sz w:val="20"/>
          <w:szCs w:val="20"/>
        </w:rPr>
        <w:t>proceduto a</w:t>
      </w:r>
      <w:r w:rsidR="00105A72">
        <w:rPr>
          <w:rFonts w:cs="Arial"/>
          <w:color w:val="000000"/>
          <w:sz w:val="20"/>
          <w:szCs w:val="20"/>
        </w:rPr>
        <w:t>lla programmazione</w:t>
      </w:r>
      <w:r w:rsidRPr="00807839">
        <w:rPr>
          <w:rFonts w:cs="Arial"/>
          <w:color w:val="000000"/>
          <w:sz w:val="20"/>
          <w:szCs w:val="20"/>
        </w:rPr>
        <w:t xml:space="preserve"> delle risorse </w:t>
      </w:r>
      <w:r w:rsidR="00105A72">
        <w:rPr>
          <w:rFonts w:cs="Arial"/>
          <w:color w:val="000000"/>
          <w:sz w:val="20"/>
          <w:szCs w:val="20"/>
        </w:rPr>
        <w:t xml:space="preserve">e </w:t>
      </w:r>
      <w:r w:rsidRPr="00807839">
        <w:rPr>
          <w:rFonts w:cs="Arial"/>
          <w:color w:val="000000"/>
          <w:sz w:val="20"/>
          <w:szCs w:val="20"/>
        </w:rPr>
        <w:t xml:space="preserve">alla definizione degli indirizzi </w:t>
      </w:r>
      <w:r w:rsidR="00105A72">
        <w:rPr>
          <w:rFonts w:cs="Arial"/>
          <w:color w:val="000000"/>
          <w:sz w:val="20"/>
          <w:szCs w:val="20"/>
        </w:rPr>
        <w:t xml:space="preserve">per </w:t>
      </w:r>
      <w:r w:rsidRPr="00807839">
        <w:rPr>
          <w:rFonts w:cs="Arial"/>
          <w:color w:val="000000"/>
          <w:sz w:val="20"/>
          <w:szCs w:val="20"/>
        </w:rPr>
        <w:t xml:space="preserve">la selezione </w:t>
      </w:r>
      <w:r>
        <w:rPr>
          <w:rFonts w:cs="Arial"/>
          <w:iCs/>
          <w:color w:val="000000"/>
          <w:sz w:val="20"/>
          <w:szCs w:val="20"/>
        </w:rPr>
        <w:t>delle proposte progettuali; A.D. di adozione dell’Avviso pubblico; A.D. di ammissione a finanziamento della proposta progettuale)</w:t>
      </w:r>
      <w:r w:rsidR="00C86FB0">
        <w:rPr>
          <w:rFonts w:cs="Arial"/>
          <w:iCs/>
          <w:color w:val="000000"/>
          <w:sz w:val="20"/>
          <w:szCs w:val="20"/>
        </w:rPr>
        <w:t>.</w:t>
      </w:r>
    </w:p>
    <w:p w14:paraId="772F9269" w14:textId="06FEA713" w:rsidR="00807839" w:rsidRDefault="00807839" w:rsidP="009B5E31">
      <w:pPr>
        <w:pStyle w:val="Paragrafoelenco"/>
        <w:widowControl/>
        <w:numPr>
          <w:ilvl w:val="0"/>
          <w:numId w:val="29"/>
        </w:numPr>
        <w:spacing w:before="120" w:after="120" w:line="276" w:lineRule="auto"/>
        <w:ind w:left="499" w:right="284" w:hanging="357"/>
        <w:rPr>
          <w:rFonts w:cs="Arial"/>
          <w:iCs/>
          <w:color w:val="000000"/>
          <w:sz w:val="20"/>
          <w:szCs w:val="20"/>
        </w:rPr>
      </w:pPr>
      <w:r w:rsidRPr="00807839">
        <w:rPr>
          <w:rFonts w:cs="Arial"/>
          <w:iCs/>
          <w:color w:val="000000"/>
          <w:sz w:val="20"/>
          <w:szCs w:val="20"/>
        </w:rPr>
        <w:t>Oggetto del disciplinare</w:t>
      </w:r>
      <w:r w:rsidR="00C86FB0">
        <w:rPr>
          <w:rFonts w:cs="Arial"/>
          <w:iCs/>
          <w:color w:val="000000"/>
          <w:sz w:val="20"/>
          <w:szCs w:val="20"/>
        </w:rPr>
        <w:t>.</w:t>
      </w:r>
    </w:p>
    <w:p w14:paraId="7710B08A" w14:textId="77777777" w:rsidR="00807839" w:rsidRPr="00807839" w:rsidRDefault="00807839" w:rsidP="009B5E31">
      <w:pPr>
        <w:pStyle w:val="Paragrafoelenco"/>
        <w:widowControl/>
        <w:numPr>
          <w:ilvl w:val="0"/>
          <w:numId w:val="29"/>
        </w:numPr>
        <w:spacing w:before="120" w:after="120" w:line="276" w:lineRule="auto"/>
        <w:ind w:left="499" w:right="284" w:hanging="357"/>
        <w:rPr>
          <w:rFonts w:cs="Arial"/>
          <w:iCs/>
          <w:color w:val="000000"/>
          <w:sz w:val="20"/>
          <w:szCs w:val="20"/>
        </w:rPr>
      </w:pPr>
      <w:r w:rsidRPr="00807839">
        <w:rPr>
          <w:rFonts w:cs="Arial"/>
          <w:iCs/>
          <w:color w:val="000000"/>
          <w:sz w:val="20"/>
          <w:szCs w:val="20"/>
        </w:rPr>
        <w:t xml:space="preserve">Entità del contributo con </w:t>
      </w:r>
      <w:r>
        <w:rPr>
          <w:rFonts w:cs="Arial"/>
          <w:iCs/>
          <w:color w:val="000000"/>
          <w:sz w:val="20"/>
          <w:szCs w:val="20"/>
        </w:rPr>
        <w:t xml:space="preserve">precipua </w:t>
      </w:r>
      <w:r w:rsidRPr="00807839">
        <w:rPr>
          <w:rFonts w:cs="Arial"/>
          <w:iCs/>
          <w:color w:val="000000"/>
          <w:sz w:val="20"/>
          <w:szCs w:val="20"/>
        </w:rPr>
        <w:t>indicazione</w:t>
      </w:r>
      <w:r>
        <w:rPr>
          <w:rFonts w:cs="Arial"/>
          <w:iCs/>
          <w:color w:val="000000"/>
          <w:sz w:val="20"/>
          <w:szCs w:val="20"/>
        </w:rPr>
        <w:t xml:space="preserve"> concernente l’importo</w:t>
      </w:r>
      <w:r w:rsidRPr="00807839">
        <w:rPr>
          <w:rFonts w:cs="Arial"/>
          <w:iCs/>
          <w:color w:val="000000"/>
          <w:sz w:val="20"/>
          <w:szCs w:val="20"/>
        </w:rPr>
        <w:t xml:space="preserve"> massimo a disposizione del Beneficiario per la realizzazione dell’operazione</w:t>
      </w:r>
      <w:r w:rsidR="00105A72">
        <w:rPr>
          <w:rFonts w:cs="Arial"/>
          <w:iCs/>
          <w:color w:val="000000"/>
          <w:sz w:val="20"/>
          <w:szCs w:val="20"/>
        </w:rPr>
        <w:t>,</w:t>
      </w:r>
      <w:r w:rsidRPr="00807839">
        <w:rPr>
          <w:rFonts w:cs="Arial"/>
          <w:iCs/>
          <w:color w:val="000000"/>
          <w:sz w:val="20"/>
          <w:szCs w:val="20"/>
        </w:rPr>
        <w:t xml:space="preserve"> </w:t>
      </w:r>
      <w:r w:rsidR="00105A72">
        <w:rPr>
          <w:rFonts w:cs="Arial"/>
          <w:iCs/>
          <w:color w:val="000000"/>
          <w:sz w:val="20"/>
          <w:szCs w:val="20"/>
        </w:rPr>
        <w:t>individuato</w:t>
      </w:r>
      <w:r w:rsidR="00221F7A">
        <w:rPr>
          <w:rFonts w:cs="Arial"/>
          <w:iCs/>
          <w:color w:val="000000"/>
          <w:sz w:val="20"/>
          <w:szCs w:val="20"/>
        </w:rPr>
        <w:t xml:space="preserve"> nell’importo </w:t>
      </w:r>
      <w:r w:rsidRPr="00807839">
        <w:rPr>
          <w:rFonts w:cs="Arial"/>
          <w:iCs/>
          <w:color w:val="000000"/>
          <w:sz w:val="20"/>
          <w:szCs w:val="20"/>
        </w:rPr>
        <w:t xml:space="preserve">rinveniente dal quadro economico di progetto rideterminato </w:t>
      </w:r>
      <w:r w:rsidRPr="009B5E31">
        <w:rPr>
          <w:rFonts w:cs="Arial"/>
          <w:i/>
          <w:color w:val="000000"/>
          <w:sz w:val="20"/>
          <w:szCs w:val="20"/>
        </w:rPr>
        <w:t xml:space="preserve">post </w:t>
      </w:r>
      <w:r w:rsidRPr="00807839">
        <w:rPr>
          <w:rFonts w:cs="Arial"/>
          <w:iCs/>
          <w:color w:val="000000"/>
          <w:sz w:val="20"/>
          <w:szCs w:val="20"/>
        </w:rPr>
        <w:t>procedura/e di appalto.</w:t>
      </w:r>
    </w:p>
    <w:p w14:paraId="56519BA3" w14:textId="725C42B1" w:rsidR="00221F7A" w:rsidRPr="00221F7A" w:rsidRDefault="00221F7A" w:rsidP="009B5E31">
      <w:pPr>
        <w:pStyle w:val="Paragrafoelenco"/>
        <w:widowControl/>
        <w:numPr>
          <w:ilvl w:val="0"/>
          <w:numId w:val="29"/>
        </w:numPr>
        <w:spacing w:before="120" w:after="120" w:line="276" w:lineRule="auto"/>
        <w:ind w:left="499" w:right="284" w:hanging="357"/>
        <w:rPr>
          <w:rFonts w:cs="Arial"/>
          <w:iCs/>
          <w:color w:val="000000"/>
          <w:sz w:val="20"/>
          <w:szCs w:val="20"/>
        </w:rPr>
      </w:pPr>
      <w:r>
        <w:rPr>
          <w:rFonts w:cs="Arial"/>
          <w:iCs/>
          <w:color w:val="000000"/>
          <w:sz w:val="20"/>
          <w:szCs w:val="20"/>
        </w:rPr>
        <w:t>(</w:t>
      </w:r>
      <w:r w:rsidR="00C86FB0" w:rsidRPr="00105A72">
        <w:rPr>
          <w:rFonts w:cs="Arial"/>
          <w:i/>
          <w:iCs/>
          <w:color w:val="000000"/>
          <w:sz w:val="20"/>
          <w:szCs w:val="20"/>
        </w:rPr>
        <w:t>E</w:t>
      </w:r>
      <w:r w:rsidRPr="00105A72">
        <w:rPr>
          <w:rFonts w:cs="Arial"/>
          <w:i/>
          <w:iCs/>
          <w:color w:val="000000"/>
          <w:sz w:val="20"/>
          <w:szCs w:val="20"/>
        </w:rPr>
        <w:t>ventuale</w:t>
      </w:r>
      <w:r>
        <w:rPr>
          <w:rFonts w:cs="Arial"/>
          <w:iCs/>
          <w:color w:val="000000"/>
          <w:sz w:val="20"/>
          <w:szCs w:val="20"/>
        </w:rPr>
        <w:t xml:space="preserve">) </w:t>
      </w:r>
      <w:r w:rsidR="00C86FB0">
        <w:rPr>
          <w:rFonts w:cs="Arial"/>
          <w:iCs/>
          <w:color w:val="000000"/>
          <w:sz w:val="20"/>
          <w:szCs w:val="20"/>
        </w:rPr>
        <w:t>I</w:t>
      </w:r>
      <w:r>
        <w:rPr>
          <w:rFonts w:cs="Arial"/>
          <w:iCs/>
          <w:color w:val="000000"/>
          <w:sz w:val="20"/>
          <w:szCs w:val="20"/>
        </w:rPr>
        <w:t>ndicazione concernente i</w:t>
      </w:r>
      <w:r w:rsidR="00807839" w:rsidRPr="00807839">
        <w:rPr>
          <w:rFonts w:cs="Arial"/>
          <w:iCs/>
          <w:color w:val="000000"/>
          <w:sz w:val="20"/>
          <w:szCs w:val="20"/>
        </w:rPr>
        <w:t xml:space="preserve">l rapporto tra contributo pubblico concesso ed eventuali risorse aggiuntive </w:t>
      </w:r>
      <w:r w:rsidR="00105A72">
        <w:rPr>
          <w:rFonts w:cs="Arial"/>
          <w:iCs/>
          <w:color w:val="000000"/>
          <w:sz w:val="20"/>
          <w:szCs w:val="20"/>
        </w:rPr>
        <w:t>a carico</w:t>
      </w:r>
      <w:r w:rsidR="00807839" w:rsidRPr="00807839">
        <w:rPr>
          <w:rFonts w:cs="Arial"/>
          <w:iCs/>
          <w:color w:val="000000"/>
          <w:sz w:val="20"/>
          <w:szCs w:val="20"/>
        </w:rPr>
        <w:t xml:space="preserve"> </w:t>
      </w:r>
      <w:r w:rsidR="00C86FB0">
        <w:rPr>
          <w:rFonts w:cs="Arial"/>
          <w:iCs/>
          <w:color w:val="000000"/>
          <w:sz w:val="20"/>
          <w:szCs w:val="20"/>
        </w:rPr>
        <w:t xml:space="preserve">del </w:t>
      </w:r>
      <w:r w:rsidR="00807839" w:rsidRPr="00807839">
        <w:rPr>
          <w:rFonts w:cs="Arial"/>
          <w:iCs/>
          <w:color w:val="000000"/>
          <w:sz w:val="20"/>
          <w:szCs w:val="20"/>
        </w:rPr>
        <w:t>Beneficiario</w:t>
      </w:r>
      <w:r>
        <w:rPr>
          <w:rFonts w:cs="Arial"/>
          <w:iCs/>
          <w:color w:val="000000"/>
          <w:sz w:val="20"/>
          <w:szCs w:val="20"/>
        </w:rPr>
        <w:t>, con specifica che tale rapporto</w:t>
      </w:r>
      <w:r w:rsidR="00807839" w:rsidRPr="00807839">
        <w:rPr>
          <w:rFonts w:cs="Arial"/>
          <w:iCs/>
          <w:color w:val="000000"/>
          <w:sz w:val="20"/>
          <w:szCs w:val="20"/>
        </w:rPr>
        <w:t xml:space="preserve"> deve rimanere fisso ed invariato per tutta la durata della operazione con conseguenza che, a fronte della rideterminazione del quadro economico </w:t>
      </w:r>
      <w:r w:rsidR="00807839" w:rsidRPr="009B5E31">
        <w:rPr>
          <w:rFonts w:cs="Arial"/>
          <w:i/>
          <w:color w:val="000000"/>
          <w:sz w:val="20"/>
          <w:szCs w:val="20"/>
        </w:rPr>
        <w:t>post</w:t>
      </w:r>
      <w:r w:rsidR="00807839" w:rsidRPr="00807839">
        <w:rPr>
          <w:rFonts w:cs="Arial"/>
          <w:iCs/>
          <w:color w:val="000000"/>
          <w:sz w:val="20"/>
          <w:szCs w:val="20"/>
        </w:rPr>
        <w:t xml:space="preserve"> procedura/e d’appalto, l’ammontare del contributo concesso sarà rimodulato secondo le ripartizioni percentuali stabilite in sede di presentazione della proposta progettuale</w:t>
      </w:r>
      <w:r w:rsidR="00C86FB0">
        <w:rPr>
          <w:rFonts w:cs="Arial"/>
          <w:iCs/>
          <w:color w:val="000000"/>
          <w:sz w:val="20"/>
          <w:szCs w:val="20"/>
        </w:rPr>
        <w:t>.</w:t>
      </w:r>
      <w:r w:rsidRPr="00221F7A">
        <w:rPr>
          <w:rFonts w:ascii="Calibri Light" w:hAnsi="Calibri Light" w:cs="Arial"/>
          <w:b/>
          <w:bCs/>
          <w:sz w:val="20"/>
          <w:szCs w:val="20"/>
        </w:rPr>
        <w:t xml:space="preserve"> </w:t>
      </w:r>
    </w:p>
    <w:p w14:paraId="13CC9FA6" w14:textId="77777777" w:rsidR="00807839" w:rsidRDefault="00221F7A" w:rsidP="009B5E31">
      <w:pPr>
        <w:pStyle w:val="Paragrafoelenco"/>
        <w:widowControl/>
        <w:numPr>
          <w:ilvl w:val="0"/>
          <w:numId w:val="29"/>
        </w:numPr>
        <w:spacing w:before="120" w:after="120" w:line="276" w:lineRule="auto"/>
        <w:ind w:left="499" w:right="284" w:hanging="357"/>
        <w:rPr>
          <w:rFonts w:cs="Arial"/>
          <w:iCs/>
          <w:color w:val="000000"/>
          <w:sz w:val="20"/>
          <w:szCs w:val="20"/>
        </w:rPr>
      </w:pPr>
      <w:r w:rsidRPr="00221F7A">
        <w:rPr>
          <w:rFonts w:cs="Arial"/>
          <w:iCs/>
          <w:color w:val="000000"/>
          <w:sz w:val="20"/>
          <w:szCs w:val="20"/>
        </w:rPr>
        <w:t>Obblighi delle Parti</w:t>
      </w:r>
      <w:r w:rsidR="00B23AA5">
        <w:rPr>
          <w:rFonts w:cs="Arial"/>
          <w:iCs/>
          <w:color w:val="000000"/>
          <w:sz w:val="20"/>
          <w:szCs w:val="20"/>
        </w:rPr>
        <w:t xml:space="preserve"> e, specificatamente, del Beneficiario, tra i quali</w:t>
      </w:r>
      <w:r w:rsidR="00C371C3">
        <w:rPr>
          <w:rFonts w:cs="Arial"/>
          <w:iCs/>
          <w:color w:val="000000"/>
          <w:sz w:val="20"/>
          <w:szCs w:val="20"/>
        </w:rPr>
        <w:t xml:space="preserve"> almeno</w:t>
      </w:r>
      <w:r w:rsidR="00CA23AB">
        <w:rPr>
          <w:rFonts w:cs="Arial"/>
          <w:iCs/>
          <w:color w:val="000000"/>
          <w:sz w:val="20"/>
          <w:szCs w:val="20"/>
        </w:rPr>
        <w:t xml:space="preserve"> </w:t>
      </w:r>
      <w:r w:rsidR="003C0BA3">
        <w:rPr>
          <w:rFonts w:cs="Arial"/>
          <w:iCs/>
          <w:color w:val="000000"/>
          <w:sz w:val="20"/>
          <w:szCs w:val="20"/>
        </w:rPr>
        <w:t>i seguenti</w:t>
      </w:r>
      <w:r w:rsidR="008654FB">
        <w:rPr>
          <w:rFonts w:cs="Arial"/>
          <w:iCs/>
          <w:color w:val="000000"/>
          <w:sz w:val="20"/>
          <w:szCs w:val="20"/>
        </w:rPr>
        <w:t>:</w:t>
      </w:r>
    </w:p>
    <w:p w14:paraId="2C155835" w14:textId="77777777" w:rsidR="008654FB" w:rsidRPr="00CA23AB"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CA23AB">
        <w:rPr>
          <w:rFonts w:cs="Arial"/>
          <w:color w:val="000000"/>
          <w:sz w:val="20"/>
          <w:szCs w:val="20"/>
        </w:rPr>
        <w:t>comunicazione di ogni variazione del RUP entro quindici (15) giorni dal suo verificarsi;</w:t>
      </w:r>
    </w:p>
    <w:p w14:paraId="49E5A5DF" w14:textId="77777777"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 xml:space="preserve">conformità delle procedure utilizzate alle norme comunitarie e nazionali di settore, </w:t>
      </w:r>
      <w:bookmarkStart w:id="1" w:name="_Hlk45028932"/>
      <w:r w:rsidRPr="004D0F0F">
        <w:rPr>
          <w:rFonts w:cs="Arial"/>
          <w:color w:val="000000"/>
          <w:sz w:val="20"/>
          <w:szCs w:val="20"/>
        </w:rPr>
        <w:t>nonché a quelle in materia ambientale, civilistica e fiscale, di sicurezza</w:t>
      </w:r>
      <w:bookmarkEnd w:id="1"/>
      <w:r w:rsidRPr="004D0F0F">
        <w:rPr>
          <w:rFonts w:cs="Arial"/>
          <w:color w:val="000000"/>
          <w:sz w:val="20"/>
          <w:szCs w:val="20"/>
        </w:rPr>
        <w:t xml:space="preserve"> e lavoro, di pari opportunità, di appalti pubblici;</w:t>
      </w:r>
    </w:p>
    <w:p w14:paraId="0A1933D5" w14:textId="58776261" w:rsidR="008654FB" w:rsidRPr="00CA23AB"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CA23AB">
        <w:rPr>
          <w:rFonts w:cs="Arial"/>
          <w:color w:val="000000"/>
          <w:sz w:val="20"/>
          <w:szCs w:val="20"/>
        </w:rPr>
        <w:t>rispetto, per quanto di propria competenza, della normativa regionale in materia di ecoefficienza e sostenibilità ambientale attraverso l’applicazione dei criteri dettati dal Piano di Azione Regionale per gli Acquisiti Verdi (PARAV) approvato con Legge Regionale n. 23 del 01 Agosto 2006</w:t>
      </w:r>
      <w:r w:rsidR="000C7CAE">
        <w:rPr>
          <w:rFonts w:cs="Arial"/>
          <w:color w:val="000000"/>
          <w:sz w:val="20"/>
          <w:szCs w:val="20"/>
        </w:rPr>
        <w:t>,</w:t>
      </w:r>
      <w:r w:rsidRPr="00CA23AB">
        <w:rPr>
          <w:rFonts w:cs="Arial"/>
          <w:color w:val="000000"/>
          <w:sz w:val="20"/>
          <w:szCs w:val="20"/>
        </w:rPr>
        <w:t xml:space="preserve"> anche attraverso l’inserimento di specifiche disposizioni nei bandi di gara per l’affidamento di attività a terzi dei Criteri Ambientali Minimi (CAM) approvati con D.M. MATTM (</w:t>
      </w:r>
      <w:hyperlink r:id="rId8" w:history="1">
        <w:r w:rsidRPr="009B5E31">
          <w:rPr>
            <w:rFonts w:cs="Arial"/>
            <w:color w:val="000000"/>
            <w:sz w:val="20"/>
            <w:szCs w:val="20"/>
          </w:rPr>
          <w:t>http://www.minambiente.it/pagina/criteri-vigore</w:t>
        </w:r>
      </w:hyperlink>
      <w:r w:rsidRPr="00CA23AB">
        <w:rPr>
          <w:rFonts w:cs="Arial"/>
          <w:color w:val="000000"/>
          <w:sz w:val="20"/>
          <w:szCs w:val="20"/>
        </w:rPr>
        <w:t>);</w:t>
      </w:r>
    </w:p>
    <w:p w14:paraId="03E6215D" w14:textId="23AAFE80"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applicazione e rispetto della Legge Regionale 26</w:t>
      </w:r>
      <w:r w:rsidR="000C7CAE" w:rsidRPr="004D0F0F">
        <w:rPr>
          <w:rFonts w:cs="Arial"/>
          <w:color w:val="000000"/>
          <w:sz w:val="20"/>
          <w:szCs w:val="20"/>
        </w:rPr>
        <w:t>/</w:t>
      </w:r>
      <w:r w:rsidRPr="004D0F0F">
        <w:rPr>
          <w:rFonts w:cs="Arial"/>
          <w:color w:val="000000"/>
          <w:sz w:val="20"/>
          <w:szCs w:val="20"/>
        </w:rPr>
        <w:t>10</w:t>
      </w:r>
      <w:r w:rsidR="000C7CAE" w:rsidRPr="004D0F0F">
        <w:rPr>
          <w:rFonts w:cs="Arial"/>
          <w:color w:val="000000"/>
          <w:sz w:val="20"/>
          <w:szCs w:val="20"/>
        </w:rPr>
        <w:t>/</w:t>
      </w:r>
      <w:r w:rsidRPr="004D0F0F">
        <w:rPr>
          <w:rFonts w:cs="Arial"/>
          <w:color w:val="000000"/>
          <w:sz w:val="20"/>
          <w:szCs w:val="20"/>
        </w:rPr>
        <w:t>2006, n. 28 in materia di contrasto al lavoro non regolare, anche attraverso specifiche disposizioni inserite nei bandi di gara per l’affidamento di attività a terzi;</w:t>
      </w:r>
    </w:p>
    <w:p w14:paraId="2E9A9BFE" w14:textId="77777777"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 xml:space="preserve">rispetto </w:t>
      </w:r>
      <w:bookmarkStart w:id="2" w:name="_Hlk45028155"/>
      <w:r w:rsidRPr="004D0F0F">
        <w:rPr>
          <w:rFonts w:cs="Arial"/>
          <w:color w:val="000000"/>
          <w:sz w:val="20"/>
          <w:szCs w:val="20"/>
        </w:rPr>
        <w:t xml:space="preserve">della normativa comunitaria e nazionale </w:t>
      </w:r>
      <w:bookmarkEnd w:id="2"/>
      <w:r w:rsidRPr="004D0F0F">
        <w:rPr>
          <w:rFonts w:cs="Arial"/>
          <w:color w:val="000000"/>
          <w:sz w:val="20"/>
          <w:szCs w:val="20"/>
        </w:rPr>
        <w:t>sull’ammissibilità delle spese</w:t>
      </w:r>
      <w:bookmarkStart w:id="3" w:name="_Hlk45028168"/>
      <w:r w:rsidRPr="004D0F0F">
        <w:rPr>
          <w:rFonts w:cs="Arial"/>
          <w:color w:val="000000"/>
          <w:sz w:val="20"/>
          <w:szCs w:val="20"/>
        </w:rPr>
        <w:t>, nonché delle disposizioni regionali in materia</w:t>
      </w:r>
      <w:bookmarkEnd w:id="3"/>
      <w:r w:rsidRPr="004D0F0F">
        <w:rPr>
          <w:rFonts w:cs="Arial"/>
          <w:color w:val="000000"/>
          <w:sz w:val="20"/>
          <w:szCs w:val="20"/>
        </w:rPr>
        <w:t>;</w:t>
      </w:r>
    </w:p>
    <w:p w14:paraId="7C5F2361" w14:textId="025F9C01" w:rsidR="008654FB" w:rsidRPr="004D0F0F" w:rsidRDefault="00D62CD8"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lastRenderedPageBreak/>
        <w:t xml:space="preserve">tenuta </w:t>
      </w:r>
      <w:r w:rsidR="00CA23AB" w:rsidRPr="004D0F0F">
        <w:rPr>
          <w:rFonts w:cs="Arial"/>
          <w:color w:val="000000"/>
          <w:sz w:val="20"/>
          <w:szCs w:val="20"/>
        </w:rPr>
        <w:t xml:space="preserve">di </w:t>
      </w:r>
      <w:r w:rsidR="008654FB" w:rsidRPr="004D0F0F">
        <w:rPr>
          <w:rFonts w:cs="Arial"/>
          <w:color w:val="000000"/>
          <w:sz w:val="20"/>
          <w:szCs w:val="20"/>
        </w:rPr>
        <w:t>un sistema di contabilità separata o di adeguata codificazione contabile per tutte le transazioni relative all’operazione oggetto del Disciplinare, nonché individuazione di un conto bancario dedicato all’operazione anche al fine di assicurare la tracciabilità dei flussi finanziari di cui all’art. 3 della Legge n. 136 del 13 agosto 2010 ss.mm.ii.;</w:t>
      </w:r>
    </w:p>
    <w:p w14:paraId="68DD44B6" w14:textId="2EDB1451" w:rsidR="008654FB" w:rsidRPr="00CA23AB"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CA23AB">
        <w:rPr>
          <w:rFonts w:cs="Arial"/>
          <w:color w:val="000000"/>
          <w:sz w:val="20"/>
          <w:szCs w:val="20"/>
        </w:rPr>
        <w:t>applicazione e rispetto, in quanto pertinenti, delle disposizioni di cui alla Legge Regionale 20</w:t>
      </w:r>
      <w:r w:rsidR="003575F5">
        <w:rPr>
          <w:rFonts w:cs="Arial"/>
          <w:color w:val="000000"/>
          <w:sz w:val="20"/>
          <w:szCs w:val="20"/>
        </w:rPr>
        <w:t>/</w:t>
      </w:r>
      <w:r w:rsidRPr="00CA23AB">
        <w:rPr>
          <w:rFonts w:cs="Arial"/>
          <w:color w:val="000000"/>
          <w:sz w:val="20"/>
          <w:szCs w:val="20"/>
        </w:rPr>
        <w:t>6</w:t>
      </w:r>
      <w:r w:rsidR="003575F5">
        <w:rPr>
          <w:rFonts w:cs="Arial"/>
          <w:color w:val="000000"/>
          <w:sz w:val="20"/>
          <w:szCs w:val="20"/>
        </w:rPr>
        <w:t>/</w:t>
      </w:r>
      <w:r w:rsidRPr="00CA23AB">
        <w:rPr>
          <w:rFonts w:cs="Arial"/>
          <w:color w:val="000000"/>
          <w:sz w:val="20"/>
          <w:szCs w:val="20"/>
        </w:rPr>
        <w:t>2008, n. 15 in materia di trasparenza dell’azione amministrativa;</w:t>
      </w:r>
    </w:p>
    <w:p w14:paraId="0BA1D95B" w14:textId="19142201"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 xml:space="preserve">applicazione della normativa prevista in materia di informazione e pubblicità </w:t>
      </w:r>
      <w:bookmarkStart w:id="4" w:name="_Hlk45028388"/>
      <w:r w:rsidRPr="004D0F0F">
        <w:rPr>
          <w:rFonts w:cs="Arial"/>
          <w:color w:val="000000"/>
          <w:sz w:val="20"/>
          <w:szCs w:val="20"/>
        </w:rPr>
        <w:t xml:space="preserve">per gli interventi cofinanziati da </w:t>
      </w:r>
      <w:r w:rsidRPr="00426F85">
        <w:rPr>
          <w:rFonts w:cs="Arial"/>
          <w:color w:val="000000"/>
          <w:sz w:val="20"/>
          <w:szCs w:val="20"/>
        </w:rPr>
        <w:t>Fondi Strutturali</w:t>
      </w:r>
      <w:bookmarkEnd w:id="4"/>
      <w:r w:rsidRPr="004D0F0F">
        <w:rPr>
          <w:rFonts w:cs="Arial"/>
          <w:color w:val="000000"/>
          <w:sz w:val="20"/>
          <w:szCs w:val="20"/>
        </w:rPr>
        <w:t>, con particolare riferimento a quanto previsto dall’Allegato XII del Reg. (UE) n. 1303/2013 e dal Reg. (UE) n. 821/2014;</w:t>
      </w:r>
    </w:p>
    <w:p w14:paraId="5B1C265D" w14:textId="056042AF" w:rsidR="008654FB" w:rsidRPr="004D0F0F" w:rsidRDefault="00D62CD8"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 xml:space="preserve">rispetto del vincolo di </w:t>
      </w:r>
      <w:r w:rsidR="008654FB" w:rsidRPr="004D0F0F">
        <w:rPr>
          <w:rFonts w:cs="Arial"/>
          <w:color w:val="000000"/>
          <w:sz w:val="20"/>
          <w:szCs w:val="20"/>
        </w:rPr>
        <w:t>stabilità dell’operazione ai sensi e per gli effetti di cui all’art. 71 del Reg. (UE) n.1303/2013;</w:t>
      </w:r>
    </w:p>
    <w:p w14:paraId="61F8A15D" w14:textId="77777777"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rispetto del divieto di doppio finanziamento, che sancisce il principio per cui non è ammissibile la spesa per la quale il Beneficiario ha già fruito di una misura di sostegno finanziario pubblico;</w:t>
      </w:r>
    </w:p>
    <w:p w14:paraId="1A5355FD" w14:textId="55B47F3D"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corretta archiviazione e conservazione della documentazione relativa all’operazione, anche attraverso l’istituzione di un fascicolo di progetto contenente la documentazione tecnica, amministrativa e contabile relativa all’operazione, per un periodo di tempo pari a 2 (due) anni a decorrere dal 31 dicembre successivo alla chiusura dei conti nei quali sono incluse le spese finali dell’operazione completata, ai sensi di quanto stabilito dall’art. 140 del Reg. (UE) n.1303/2013;</w:t>
      </w:r>
    </w:p>
    <w:p w14:paraId="0A167F4A" w14:textId="77777777"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 xml:space="preserve">indicazione, su tutti i documenti afferenti </w:t>
      </w:r>
      <w:r w:rsidR="000C7CAE" w:rsidRPr="004D0F0F">
        <w:rPr>
          <w:rFonts w:cs="Arial"/>
          <w:color w:val="000000"/>
          <w:sz w:val="20"/>
          <w:szCs w:val="20"/>
        </w:rPr>
        <w:t>al</w:t>
      </w:r>
      <w:r w:rsidRPr="004D0F0F">
        <w:rPr>
          <w:rFonts w:cs="Arial"/>
          <w:color w:val="000000"/>
          <w:sz w:val="20"/>
          <w:szCs w:val="20"/>
        </w:rPr>
        <w:t>l’operazione, del Programma comunitario, dell’Obiettivo specifico e dell’Azione, nonché del titolo dell’operazione, del Codice Unico di Progetto (CUP) e del Codice Identificativo Gara (CIG) di riferimento;</w:t>
      </w:r>
    </w:p>
    <w:p w14:paraId="1C1DEC16" w14:textId="2AC6211C"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implementazione e aggiornamento, secondo la tempistica stabilita dal Disciplinare, nel sistema di monitoraggio MIRWEB di tutte le informazioni finanziarie, fisiche e procedurali relative alle attività connesse all’attuazione dell’operazione e, specificatamente:</w:t>
      </w:r>
    </w:p>
    <w:p w14:paraId="42F6D64B" w14:textId="77777777" w:rsidR="008654FB" w:rsidRPr="004D0F0F" w:rsidRDefault="008654FB" w:rsidP="009B5E31">
      <w:pPr>
        <w:pStyle w:val="Paragrafoelenco"/>
        <w:widowControl/>
        <w:numPr>
          <w:ilvl w:val="0"/>
          <w:numId w:val="31"/>
        </w:numPr>
        <w:spacing w:before="120" w:after="120" w:line="276" w:lineRule="auto"/>
        <w:ind w:left="1135" w:right="284" w:hanging="284"/>
        <w:rPr>
          <w:rFonts w:cs="Arial"/>
          <w:color w:val="000000"/>
          <w:sz w:val="20"/>
          <w:szCs w:val="20"/>
        </w:rPr>
      </w:pPr>
      <w:r w:rsidRPr="004D0F0F">
        <w:rPr>
          <w:rFonts w:cs="Arial"/>
          <w:color w:val="000000"/>
          <w:sz w:val="20"/>
          <w:szCs w:val="20"/>
        </w:rPr>
        <w:t>della documentazione relativa ad ogni procedura di appalto espletata per l’attuazione dell’operazione;</w:t>
      </w:r>
    </w:p>
    <w:p w14:paraId="1287CDF8" w14:textId="77777777" w:rsidR="008654FB" w:rsidRPr="004D0F0F" w:rsidRDefault="008654FB" w:rsidP="009B5E31">
      <w:pPr>
        <w:pStyle w:val="Paragrafoelenco"/>
        <w:widowControl/>
        <w:numPr>
          <w:ilvl w:val="0"/>
          <w:numId w:val="31"/>
        </w:numPr>
        <w:spacing w:before="120" w:after="120" w:line="276" w:lineRule="auto"/>
        <w:ind w:left="1135" w:right="284" w:hanging="284"/>
        <w:rPr>
          <w:rFonts w:cs="Arial"/>
          <w:color w:val="000000"/>
          <w:sz w:val="20"/>
          <w:szCs w:val="20"/>
        </w:rPr>
      </w:pPr>
      <w:r w:rsidRPr="004D0F0F">
        <w:rPr>
          <w:rFonts w:cs="Arial"/>
          <w:color w:val="000000"/>
          <w:sz w:val="20"/>
          <w:szCs w:val="20"/>
        </w:rPr>
        <w:t>delle spese sostenute e quietanzate, nonché della documentazione tecnica/amministrativa/contabile dell’</w:t>
      </w:r>
      <w:r w:rsidRPr="009B5E31">
        <w:rPr>
          <w:rFonts w:cs="Arial"/>
          <w:i/>
          <w:iCs/>
          <w:color w:val="000000"/>
          <w:sz w:val="20"/>
          <w:szCs w:val="20"/>
        </w:rPr>
        <w:t>iter</w:t>
      </w:r>
      <w:r w:rsidRPr="004D0F0F">
        <w:rPr>
          <w:rFonts w:cs="Arial"/>
          <w:color w:val="000000"/>
          <w:sz w:val="20"/>
          <w:szCs w:val="20"/>
        </w:rPr>
        <w:t xml:space="preserve"> amministrativo che le ha determinate;</w:t>
      </w:r>
    </w:p>
    <w:p w14:paraId="7EF56AF2" w14:textId="77777777" w:rsidR="008654FB" w:rsidRPr="004D0F0F" w:rsidRDefault="008654FB" w:rsidP="009B5E31">
      <w:pPr>
        <w:pStyle w:val="Paragrafoelenco"/>
        <w:widowControl/>
        <w:numPr>
          <w:ilvl w:val="0"/>
          <w:numId w:val="31"/>
        </w:numPr>
        <w:spacing w:before="120" w:after="120" w:line="276" w:lineRule="auto"/>
        <w:ind w:left="1135" w:right="284" w:hanging="284"/>
        <w:rPr>
          <w:rFonts w:cs="Arial"/>
          <w:color w:val="000000"/>
          <w:sz w:val="20"/>
          <w:szCs w:val="20"/>
        </w:rPr>
      </w:pPr>
      <w:r w:rsidRPr="004D0F0F">
        <w:rPr>
          <w:rFonts w:cs="Arial"/>
          <w:color w:val="000000"/>
          <w:sz w:val="20"/>
          <w:szCs w:val="20"/>
        </w:rPr>
        <w:t>dei valori degli indicatori di realizzazione;</w:t>
      </w:r>
    </w:p>
    <w:p w14:paraId="2814CD89" w14:textId="0DF1009F"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implementazione</w:t>
      </w:r>
      <w:r w:rsidR="00CA23AB" w:rsidRPr="004D0F0F">
        <w:rPr>
          <w:rFonts w:cs="Arial"/>
          <w:color w:val="000000"/>
          <w:sz w:val="20"/>
          <w:szCs w:val="20"/>
        </w:rPr>
        <w:t xml:space="preserve"> </w:t>
      </w:r>
      <w:r w:rsidR="00F648E7" w:rsidRPr="004D0F0F">
        <w:rPr>
          <w:rFonts w:cs="Arial"/>
          <w:color w:val="000000"/>
          <w:sz w:val="20"/>
          <w:szCs w:val="20"/>
        </w:rPr>
        <w:t>ne</w:t>
      </w:r>
      <w:r w:rsidR="00CA23AB" w:rsidRPr="004D0F0F">
        <w:rPr>
          <w:rFonts w:cs="Arial"/>
          <w:color w:val="000000"/>
          <w:sz w:val="20"/>
          <w:szCs w:val="20"/>
        </w:rPr>
        <w:t>l sistema di monitoraggio MIRWEB,</w:t>
      </w:r>
      <w:r w:rsidRPr="004D0F0F">
        <w:rPr>
          <w:rFonts w:cs="Arial"/>
          <w:color w:val="000000"/>
          <w:sz w:val="20"/>
          <w:szCs w:val="20"/>
        </w:rPr>
        <w:t xml:space="preserve"> </w:t>
      </w:r>
      <w:r w:rsidR="00CA23AB" w:rsidRPr="004D0F0F">
        <w:rPr>
          <w:rFonts w:cs="Arial"/>
          <w:color w:val="000000"/>
          <w:sz w:val="20"/>
          <w:szCs w:val="20"/>
        </w:rPr>
        <w:t xml:space="preserve">al termine dell’operazione, </w:t>
      </w:r>
      <w:r w:rsidRPr="004D0F0F">
        <w:rPr>
          <w:rFonts w:cs="Arial"/>
          <w:color w:val="000000"/>
          <w:sz w:val="20"/>
          <w:szCs w:val="20"/>
        </w:rPr>
        <w:t>della documentazione relativa all’approvazione del certificato di collaudo tecnico-amministrativo/regolare esecuzione/verifica di conformità e dell’omologazione della spesa complessiva sostenuta per l’attuazione dell’operazione;</w:t>
      </w:r>
    </w:p>
    <w:p w14:paraId="411DD1EB" w14:textId="6CB2A526"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bookmarkStart w:id="5" w:name="_Hlk45029074"/>
      <w:r w:rsidRPr="004D0F0F">
        <w:rPr>
          <w:rFonts w:cs="Arial"/>
          <w:color w:val="000000"/>
          <w:sz w:val="20"/>
          <w:szCs w:val="20"/>
        </w:rPr>
        <w:t xml:space="preserve">piena disponibilità di quanto oggetto di finanziamento per le verifiche, da parte della struttura di gestione e controllo di primo livello, dell’Autorità di </w:t>
      </w:r>
      <w:r w:rsidR="00F648E7" w:rsidRPr="004D0F0F">
        <w:rPr>
          <w:rFonts w:cs="Arial"/>
          <w:color w:val="000000"/>
          <w:sz w:val="20"/>
          <w:szCs w:val="20"/>
        </w:rPr>
        <w:t>A</w:t>
      </w:r>
      <w:r w:rsidRPr="004D0F0F">
        <w:rPr>
          <w:rFonts w:cs="Arial"/>
          <w:color w:val="000000"/>
          <w:sz w:val="20"/>
          <w:szCs w:val="20"/>
        </w:rPr>
        <w:t xml:space="preserve">udit, della Commissione Europea, della Corte </w:t>
      </w:r>
      <w:r w:rsidRPr="004D0F0F">
        <w:rPr>
          <w:rFonts w:cs="Arial"/>
          <w:color w:val="000000"/>
          <w:sz w:val="20"/>
          <w:szCs w:val="20"/>
        </w:rPr>
        <w:lastRenderedPageBreak/>
        <w:t>dei Conti Europea, nonché degli altri organismi di controllo, interni o esterni alla Regione Puglia, circa la corretta applicazione delle procedure adottate per la realizzazione dell’operazione, la conformità della stessa rispetto alla proposta progettuale approvata</w:t>
      </w:r>
      <w:r w:rsidR="00F648E7" w:rsidRPr="004D0F0F">
        <w:rPr>
          <w:rFonts w:cs="Arial"/>
          <w:color w:val="000000"/>
          <w:sz w:val="20"/>
          <w:szCs w:val="20"/>
        </w:rPr>
        <w:t>,</w:t>
      </w:r>
      <w:r w:rsidRPr="004D0F0F">
        <w:rPr>
          <w:rFonts w:cs="Arial"/>
          <w:color w:val="000000"/>
          <w:sz w:val="20"/>
          <w:szCs w:val="20"/>
        </w:rPr>
        <w:t xml:space="preserve"> </w:t>
      </w:r>
      <w:r w:rsidRPr="009B5E31">
        <w:rPr>
          <w:rFonts w:cs="Arial"/>
          <w:i/>
          <w:iCs/>
          <w:color w:val="000000"/>
          <w:sz w:val="20"/>
          <w:szCs w:val="20"/>
        </w:rPr>
        <w:t>etc</w:t>
      </w:r>
      <w:r w:rsidRPr="004D0F0F">
        <w:rPr>
          <w:rFonts w:cs="Arial"/>
          <w:color w:val="000000"/>
          <w:sz w:val="20"/>
          <w:szCs w:val="20"/>
        </w:rPr>
        <w:t>.;</w:t>
      </w:r>
      <w:bookmarkEnd w:id="5"/>
    </w:p>
    <w:p w14:paraId="300AF359" w14:textId="77777777" w:rsidR="008654FB" w:rsidRPr="004D0F0F" w:rsidRDefault="008654FB"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rispetto del cronoprogramma procedurale e di spesa relativo alle attività connesse all’attuazione dell’operazione;</w:t>
      </w:r>
    </w:p>
    <w:p w14:paraId="2F26620B" w14:textId="1C769872" w:rsidR="008654FB" w:rsidRPr="004D0F0F" w:rsidRDefault="003C0BA3" w:rsidP="009B5E31">
      <w:pPr>
        <w:pStyle w:val="Paragrafoelenco"/>
        <w:widowControl/>
        <w:numPr>
          <w:ilvl w:val="0"/>
          <w:numId w:val="32"/>
        </w:numPr>
        <w:spacing w:before="120" w:after="120" w:line="276" w:lineRule="auto"/>
        <w:ind w:left="850" w:right="284" w:hanging="357"/>
        <w:rPr>
          <w:rFonts w:cs="Arial"/>
          <w:color w:val="000000"/>
          <w:sz w:val="20"/>
          <w:szCs w:val="20"/>
        </w:rPr>
      </w:pPr>
      <w:r w:rsidRPr="004D0F0F">
        <w:rPr>
          <w:rFonts w:cs="Arial"/>
          <w:color w:val="000000"/>
          <w:sz w:val="20"/>
          <w:szCs w:val="20"/>
        </w:rPr>
        <w:t>rispetto degli</w:t>
      </w:r>
      <w:r w:rsidR="00CA23AB" w:rsidRPr="004D0F0F">
        <w:rPr>
          <w:rFonts w:cs="Arial"/>
          <w:color w:val="000000"/>
          <w:sz w:val="20"/>
          <w:szCs w:val="20"/>
        </w:rPr>
        <w:t xml:space="preserve"> </w:t>
      </w:r>
      <w:r w:rsidR="008654FB" w:rsidRPr="004D0F0F">
        <w:rPr>
          <w:rFonts w:cs="Arial"/>
          <w:color w:val="000000"/>
          <w:sz w:val="20"/>
          <w:szCs w:val="20"/>
        </w:rPr>
        <w:t>adempimenti funzionali alla corretta e regolare esecuzione di quanto previsto nel Disciplinare</w:t>
      </w:r>
      <w:r w:rsidR="00F648E7" w:rsidRPr="004D0F0F">
        <w:rPr>
          <w:rFonts w:cs="Arial"/>
          <w:color w:val="000000"/>
          <w:sz w:val="20"/>
          <w:szCs w:val="20"/>
        </w:rPr>
        <w:t>.</w:t>
      </w:r>
    </w:p>
    <w:p w14:paraId="6E8C0920" w14:textId="0CC31606" w:rsidR="00807839" w:rsidRPr="00CA23AB" w:rsidRDefault="008654FB"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Cr</w:t>
      </w:r>
      <w:r w:rsidR="00221F7A" w:rsidRPr="00CA23AB">
        <w:rPr>
          <w:rFonts w:cs="Arial"/>
          <w:color w:val="000000"/>
          <w:sz w:val="20"/>
          <w:szCs w:val="20"/>
        </w:rPr>
        <w:t>o</w:t>
      </w:r>
      <w:r w:rsidRPr="00CA23AB">
        <w:rPr>
          <w:rFonts w:cs="Arial"/>
          <w:color w:val="000000"/>
          <w:sz w:val="20"/>
          <w:szCs w:val="20"/>
        </w:rPr>
        <w:t>no</w:t>
      </w:r>
      <w:r w:rsidR="00221F7A" w:rsidRPr="00CA23AB">
        <w:rPr>
          <w:rFonts w:cs="Arial"/>
          <w:color w:val="000000"/>
          <w:sz w:val="20"/>
          <w:szCs w:val="20"/>
        </w:rPr>
        <w:t>programma procedurale dell’operazione</w:t>
      </w:r>
      <w:r w:rsidR="00F648E7">
        <w:rPr>
          <w:rFonts w:cs="Arial"/>
          <w:color w:val="000000"/>
          <w:sz w:val="20"/>
          <w:szCs w:val="20"/>
        </w:rPr>
        <w:t>.</w:t>
      </w:r>
    </w:p>
    <w:p w14:paraId="0D46F542" w14:textId="33309808" w:rsidR="00221F7A" w:rsidRPr="00221F7A"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Spese ammissibili</w:t>
      </w:r>
      <w:r w:rsidR="00F648E7">
        <w:rPr>
          <w:rFonts w:cs="Arial"/>
          <w:color w:val="000000"/>
          <w:sz w:val="20"/>
          <w:szCs w:val="20"/>
        </w:rPr>
        <w:t>.</w:t>
      </w:r>
    </w:p>
    <w:p w14:paraId="763B965A" w14:textId="6A45390E" w:rsidR="00221F7A" w:rsidRPr="00CA23AB"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 xml:space="preserve">Modalità </w:t>
      </w:r>
      <w:r w:rsidR="003C0BA3">
        <w:rPr>
          <w:rFonts w:cs="Arial"/>
          <w:color w:val="000000"/>
          <w:sz w:val="20"/>
          <w:szCs w:val="20"/>
        </w:rPr>
        <w:t xml:space="preserve">e termini </w:t>
      </w:r>
      <w:r w:rsidRPr="00CA23AB">
        <w:rPr>
          <w:rFonts w:cs="Arial"/>
          <w:color w:val="000000"/>
          <w:sz w:val="20"/>
          <w:szCs w:val="20"/>
        </w:rPr>
        <w:t>di erogazione del contributo finanziario</w:t>
      </w:r>
      <w:r w:rsidR="00F648E7">
        <w:rPr>
          <w:rFonts w:cs="Arial"/>
          <w:color w:val="000000"/>
          <w:sz w:val="20"/>
          <w:szCs w:val="20"/>
        </w:rPr>
        <w:t>.</w:t>
      </w:r>
    </w:p>
    <w:p w14:paraId="6703EF6E" w14:textId="7CAAB93B" w:rsidR="00221F7A" w:rsidRPr="00CA23AB" w:rsidRDefault="003C0BA3" w:rsidP="009B5E31">
      <w:pPr>
        <w:pStyle w:val="Paragrafoelenco"/>
        <w:widowControl/>
        <w:numPr>
          <w:ilvl w:val="0"/>
          <w:numId w:val="29"/>
        </w:numPr>
        <w:spacing w:before="120" w:after="120" w:line="276" w:lineRule="auto"/>
        <w:ind w:left="499" w:right="284" w:hanging="357"/>
        <w:rPr>
          <w:rFonts w:cs="Arial"/>
          <w:color w:val="000000"/>
          <w:sz w:val="20"/>
          <w:szCs w:val="20"/>
        </w:rPr>
      </w:pPr>
      <w:r>
        <w:rPr>
          <w:rFonts w:cs="Arial"/>
          <w:color w:val="000000"/>
          <w:sz w:val="20"/>
          <w:szCs w:val="20"/>
        </w:rPr>
        <w:t>Modalità e t</w:t>
      </w:r>
      <w:r w:rsidR="00221F7A" w:rsidRPr="00CA23AB">
        <w:rPr>
          <w:rFonts w:cs="Arial"/>
          <w:color w:val="000000"/>
          <w:sz w:val="20"/>
          <w:szCs w:val="20"/>
        </w:rPr>
        <w:t>ermini di rendicontazione e procedure di monitoraggio</w:t>
      </w:r>
      <w:r w:rsidR="00F648E7">
        <w:rPr>
          <w:rFonts w:cs="Arial"/>
          <w:color w:val="000000"/>
          <w:sz w:val="20"/>
          <w:szCs w:val="20"/>
        </w:rPr>
        <w:t>.</w:t>
      </w:r>
    </w:p>
    <w:p w14:paraId="1D054F2A" w14:textId="3C9102E5" w:rsidR="00221F7A" w:rsidRPr="00CA23AB"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Modalità e termini di esecuzione dei controlli e delle verifiche da parte della Regione Puglia</w:t>
      </w:r>
      <w:r w:rsidR="00F648E7">
        <w:rPr>
          <w:rFonts w:cs="Arial"/>
          <w:color w:val="000000"/>
          <w:sz w:val="20"/>
          <w:szCs w:val="20"/>
        </w:rPr>
        <w:t>.</w:t>
      </w:r>
    </w:p>
    <w:p w14:paraId="6FBACFED" w14:textId="2228EBC7" w:rsidR="00221F7A" w:rsidRPr="00CA23AB"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Riferimento al rispetto del vincolo sulla stabilità dell’operazione</w:t>
      </w:r>
      <w:r w:rsidR="00F648E7">
        <w:rPr>
          <w:rFonts w:cs="Arial"/>
          <w:color w:val="000000"/>
          <w:sz w:val="20"/>
          <w:szCs w:val="20"/>
        </w:rPr>
        <w:t>.</w:t>
      </w:r>
    </w:p>
    <w:p w14:paraId="6CC7B6D9" w14:textId="16E9E9F1" w:rsidR="00221F7A" w:rsidRPr="00CA23AB"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Casi di revoca e rinuncia del contributo finanziario</w:t>
      </w:r>
      <w:r w:rsidR="00F648E7">
        <w:rPr>
          <w:rFonts w:cs="Arial"/>
          <w:color w:val="000000"/>
          <w:sz w:val="20"/>
          <w:szCs w:val="20"/>
        </w:rPr>
        <w:t>.</w:t>
      </w:r>
    </w:p>
    <w:p w14:paraId="44BE977F" w14:textId="26C08251" w:rsidR="00221F7A" w:rsidRPr="000D42A9"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0D42A9">
        <w:rPr>
          <w:rFonts w:cs="Arial"/>
          <w:color w:val="000000"/>
          <w:sz w:val="20"/>
          <w:szCs w:val="20"/>
        </w:rPr>
        <w:t>Trattamento dei dati</w:t>
      </w:r>
      <w:r w:rsidR="003C0BA3" w:rsidRPr="000D42A9">
        <w:rPr>
          <w:rFonts w:cs="Arial"/>
          <w:color w:val="000000"/>
          <w:sz w:val="20"/>
          <w:szCs w:val="20"/>
        </w:rPr>
        <w:t>, ivi incluso quello relativo al sistema informativo A</w:t>
      </w:r>
      <w:r w:rsidR="00F648E7" w:rsidRPr="000D42A9">
        <w:rPr>
          <w:rFonts w:cs="Arial"/>
          <w:color w:val="000000"/>
          <w:sz w:val="20"/>
          <w:szCs w:val="20"/>
        </w:rPr>
        <w:t>RACHNE.</w:t>
      </w:r>
    </w:p>
    <w:p w14:paraId="5EC6B5EE" w14:textId="77777777" w:rsidR="00221F7A" w:rsidRPr="00CA23AB" w:rsidRDefault="00221F7A" w:rsidP="009B5E31">
      <w:pPr>
        <w:pStyle w:val="Paragrafoelenco"/>
        <w:widowControl/>
        <w:numPr>
          <w:ilvl w:val="0"/>
          <w:numId w:val="29"/>
        </w:numPr>
        <w:spacing w:before="120" w:after="120" w:line="276" w:lineRule="auto"/>
        <w:ind w:left="499" w:right="284" w:hanging="357"/>
        <w:rPr>
          <w:rFonts w:cs="Arial"/>
          <w:color w:val="000000"/>
          <w:sz w:val="20"/>
          <w:szCs w:val="20"/>
        </w:rPr>
      </w:pPr>
      <w:r w:rsidRPr="00CA23AB">
        <w:rPr>
          <w:rFonts w:cs="Arial"/>
          <w:color w:val="000000"/>
          <w:sz w:val="20"/>
          <w:szCs w:val="20"/>
        </w:rPr>
        <w:t>Richiamo generale alle norme vigenti e alle disposizioni comunitarie</w:t>
      </w:r>
      <w:r w:rsidR="00F648E7">
        <w:rPr>
          <w:rFonts w:cs="Arial"/>
          <w:color w:val="000000"/>
          <w:sz w:val="20"/>
          <w:szCs w:val="20"/>
        </w:rPr>
        <w:t>.</w:t>
      </w:r>
    </w:p>
    <w:sectPr w:rsidR="00221F7A" w:rsidRPr="00CA23AB" w:rsidSect="001E6FFB">
      <w:headerReference w:type="default" r:id="rId9"/>
      <w:footerReference w:type="default" r:id="rId10"/>
      <w:pgSz w:w="11906" w:h="16838"/>
      <w:pgMar w:top="1245" w:right="1134" w:bottom="1417" w:left="1134" w:header="708"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0CFB9" w14:textId="77777777" w:rsidR="009E0F2D" w:rsidRDefault="009E0F2D" w:rsidP="00274331">
      <w:pPr>
        <w:spacing w:after="0"/>
      </w:pPr>
      <w:r>
        <w:separator/>
      </w:r>
    </w:p>
  </w:endnote>
  <w:endnote w:type="continuationSeparator" w:id="0">
    <w:p w14:paraId="0256A7F8" w14:textId="77777777" w:rsidR="009E0F2D" w:rsidRDefault="009E0F2D" w:rsidP="002743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Futura Bk BT">
    <w:altName w:val="Century Gothic"/>
    <w:panose1 w:val="020B0602020204020303"/>
    <w:charset w:val="B1"/>
    <w:family w:val="swiss"/>
    <w:pitch w:val="variable"/>
    <w:sig w:usb0="80000867" w:usb1="00000000" w:usb2="00000000" w:usb3="00000000" w:csb0="000001FB" w:csb1="00000000"/>
  </w:font>
  <w:font w:name="Comic Sans MS">
    <w:panose1 w:val="030F0702030302020204"/>
    <w:charset w:val="00"/>
    <w:family w:val="script"/>
    <w:pitch w:val="variable"/>
    <w:sig w:usb0="00000287" w:usb1="00000013" w:usb2="00000000" w:usb3="00000000" w:csb0="0000009F" w:csb1="00000000"/>
  </w:font>
  <w:font w:name="Courier PS">
    <w:panose1 w:val="00000000000000000000"/>
    <w:charset w:val="00"/>
    <w:family w:val="modern"/>
    <w:notTrueType/>
    <w:pitch w:val="fixed"/>
    <w:sig w:usb0="00000003" w:usb1="00000000" w:usb2="00000000" w:usb3="00000000" w:csb0="00000001" w:csb1="00000000"/>
  </w:font>
  <w:font w:name="Times-Bold">
    <w:altName w:val="Times New Roman"/>
    <w:panose1 w:val="000008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67" w:type="dxa"/>
      <w:tblBorders>
        <w:top w:val="single" w:sz="8" w:space="0" w:color="auto"/>
      </w:tblBorders>
      <w:tblLook w:val="01E0" w:firstRow="1" w:lastRow="1" w:firstColumn="1" w:lastColumn="1" w:noHBand="0" w:noVBand="0"/>
    </w:tblPr>
    <w:tblGrid>
      <w:gridCol w:w="5461"/>
      <w:gridCol w:w="4306"/>
    </w:tblGrid>
    <w:tr w:rsidR="00D87259" w14:paraId="25F3FD23" w14:textId="77777777" w:rsidTr="000D3511">
      <w:tc>
        <w:tcPr>
          <w:tcW w:w="5461" w:type="dxa"/>
        </w:tcPr>
        <w:p w14:paraId="378B6ED1" w14:textId="77777777" w:rsidR="00D87259" w:rsidRDefault="00D87259" w:rsidP="00B344A2">
          <w:pPr>
            <w:pStyle w:val="Pidipagina"/>
            <w:ind w:right="360"/>
            <w:rPr>
              <w:rFonts w:ascii="Arial" w:hAnsi="Arial" w:cs="Arial"/>
              <w:sz w:val="16"/>
              <w:szCs w:val="16"/>
            </w:rPr>
          </w:pPr>
        </w:p>
      </w:tc>
      <w:tc>
        <w:tcPr>
          <w:tcW w:w="4306" w:type="dxa"/>
          <w:shd w:val="clear" w:color="auto" w:fill="auto"/>
        </w:tcPr>
        <w:p w14:paraId="7B2718EC" w14:textId="77777777" w:rsidR="00D87259" w:rsidRPr="00AE4080" w:rsidRDefault="0098013F" w:rsidP="000D3511">
          <w:pPr>
            <w:pStyle w:val="Pidipagina"/>
            <w:jc w:val="right"/>
            <w:rPr>
              <w:rFonts w:ascii="Calibri" w:hAnsi="Calibri"/>
              <w:sz w:val="16"/>
              <w:szCs w:val="16"/>
            </w:rPr>
          </w:pPr>
          <w:r w:rsidRPr="00AE4080">
            <w:rPr>
              <w:rStyle w:val="Numeropagina"/>
              <w:rFonts w:ascii="Calibri" w:hAnsi="Calibri"/>
              <w:sz w:val="16"/>
              <w:szCs w:val="16"/>
            </w:rPr>
            <w:fldChar w:fldCharType="begin"/>
          </w:r>
          <w:r w:rsidR="00D87259" w:rsidRPr="00AE4080">
            <w:rPr>
              <w:rStyle w:val="Numeropagina"/>
              <w:rFonts w:ascii="Calibri" w:hAnsi="Calibri"/>
              <w:sz w:val="16"/>
              <w:szCs w:val="16"/>
            </w:rPr>
            <w:instrText xml:space="preserve">PAGE  </w:instrText>
          </w:r>
          <w:r w:rsidRPr="00AE4080">
            <w:rPr>
              <w:rStyle w:val="Numeropagina"/>
              <w:rFonts w:ascii="Calibri" w:hAnsi="Calibri"/>
              <w:sz w:val="16"/>
              <w:szCs w:val="16"/>
            </w:rPr>
            <w:fldChar w:fldCharType="separate"/>
          </w:r>
          <w:r w:rsidR="00D71F61">
            <w:rPr>
              <w:rStyle w:val="Numeropagina"/>
              <w:rFonts w:ascii="Calibri" w:hAnsi="Calibri"/>
              <w:noProof/>
              <w:sz w:val="16"/>
              <w:szCs w:val="16"/>
            </w:rPr>
            <w:t>6</w:t>
          </w:r>
          <w:r w:rsidRPr="00AE4080">
            <w:rPr>
              <w:rStyle w:val="Numeropagina"/>
              <w:rFonts w:ascii="Calibri" w:hAnsi="Calibri"/>
              <w:sz w:val="16"/>
              <w:szCs w:val="16"/>
            </w:rPr>
            <w:fldChar w:fldCharType="end"/>
          </w:r>
          <w:r w:rsidR="00D87259" w:rsidRPr="00AE4080">
            <w:rPr>
              <w:rStyle w:val="Numeropagina"/>
              <w:rFonts w:ascii="Calibri" w:hAnsi="Calibri"/>
              <w:sz w:val="16"/>
              <w:szCs w:val="16"/>
            </w:rPr>
            <w:t xml:space="preserve"> di </w:t>
          </w:r>
          <w:r w:rsidRPr="00AE4080">
            <w:rPr>
              <w:rStyle w:val="Numeropagina"/>
              <w:rFonts w:ascii="Calibri" w:hAnsi="Calibri"/>
              <w:sz w:val="16"/>
              <w:szCs w:val="16"/>
            </w:rPr>
            <w:fldChar w:fldCharType="begin"/>
          </w:r>
          <w:r w:rsidR="00D87259" w:rsidRPr="00AE4080">
            <w:rPr>
              <w:rStyle w:val="Numeropagina"/>
              <w:rFonts w:ascii="Calibri" w:hAnsi="Calibri"/>
              <w:sz w:val="16"/>
              <w:szCs w:val="16"/>
            </w:rPr>
            <w:instrText xml:space="preserve"> NUMPAGES </w:instrText>
          </w:r>
          <w:r w:rsidRPr="00AE4080">
            <w:rPr>
              <w:rStyle w:val="Numeropagina"/>
              <w:rFonts w:ascii="Calibri" w:hAnsi="Calibri"/>
              <w:sz w:val="16"/>
              <w:szCs w:val="16"/>
            </w:rPr>
            <w:fldChar w:fldCharType="separate"/>
          </w:r>
          <w:r w:rsidR="00D71F61">
            <w:rPr>
              <w:rStyle w:val="Numeropagina"/>
              <w:rFonts w:ascii="Calibri" w:hAnsi="Calibri"/>
              <w:noProof/>
              <w:sz w:val="16"/>
              <w:szCs w:val="16"/>
            </w:rPr>
            <w:t>12</w:t>
          </w:r>
          <w:r w:rsidRPr="00AE4080">
            <w:rPr>
              <w:rStyle w:val="Numeropagina"/>
              <w:rFonts w:ascii="Calibri" w:hAnsi="Calibri"/>
              <w:sz w:val="16"/>
              <w:szCs w:val="16"/>
            </w:rPr>
            <w:fldChar w:fldCharType="end"/>
          </w:r>
        </w:p>
      </w:tc>
    </w:tr>
  </w:tbl>
  <w:p w14:paraId="1C42F4AB" w14:textId="77777777" w:rsidR="00D87259" w:rsidRPr="001E6FFB" w:rsidRDefault="00D87259" w:rsidP="001E6FFB">
    <w:pPr>
      <w:spacing w:after="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553F3" w14:textId="77777777" w:rsidR="009E0F2D" w:rsidRDefault="009E0F2D" w:rsidP="00274331">
      <w:pPr>
        <w:spacing w:after="0"/>
      </w:pPr>
      <w:r>
        <w:separator/>
      </w:r>
    </w:p>
  </w:footnote>
  <w:footnote w:type="continuationSeparator" w:id="0">
    <w:p w14:paraId="11C5D479" w14:textId="77777777" w:rsidR="009E0F2D" w:rsidRDefault="009E0F2D" w:rsidP="0027433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091DBD" w:rsidRPr="00207BA1" w14:paraId="037B4F86" w14:textId="77777777" w:rsidTr="0023411A">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091DBD" w14:paraId="5111F35C" w14:textId="77777777" w:rsidTr="0023411A">
            <w:tc>
              <w:tcPr>
                <w:tcW w:w="1808" w:type="dxa"/>
                <w:shd w:val="clear" w:color="auto" w:fill="auto"/>
                <w:vAlign w:val="center"/>
              </w:tcPr>
              <w:p w14:paraId="4EE5F622" w14:textId="77777777" w:rsidR="00091DBD" w:rsidRPr="00C41F6E" w:rsidRDefault="00091DBD" w:rsidP="00091DBD">
                <w:pPr>
                  <w:spacing w:after="0"/>
                  <w:jc w:val="center"/>
                  <w:rPr>
                    <w:sz w:val="16"/>
                    <w:szCs w:val="16"/>
                  </w:rPr>
                </w:pPr>
                <w:r>
                  <w:rPr>
                    <w:noProof/>
                    <w:sz w:val="16"/>
                    <w:szCs w:val="16"/>
                  </w:rPr>
                  <w:drawing>
                    <wp:inline distT="0" distB="0" distL="0" distR="0" wp14:anchorId="7577507F" wp14:editId="7D580228">
                      <wp:extent cx="989330" cy="695960"/>
                      <wp:effectExtent l="1905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89330" cy="695960"/>
                              </a:xfrm>
                              <a:prstGeom prst="rect">
                                <a:avLst/>
                              </a:prstGeom>
                              <a:noFill/>
                              <a:ln w="9525">
                                <a:noFill/>
                                <a:miter lim="800000"/>
                                <a:headEnd/>
                                <a:tailEnd/>
                              </a:ln>
                            </pic:spPr>
                          </pic:pic>
                        </a:graphicData>
                      </a:graphic>
                    </wp:inline>
                  </w:drawing>
                </w:r>
              </w:p>
              <w:p w14:paraId="67204CAB" w14:textId="77777777" w:rsidR="00091DBD" w:rsidRPr="00C41F6E" w:rsidRDefault="00091DBD" w:rsidP="00091DBD">
                <w:pPr>
                  <w:spacing w:after="0"/>
                  <w:jc w:val="center"/>
                  <w:rPr>
                    <w:sz w:val="16"/>
                    <w:szCs w:val="16"/>
                  </w:rPr>
                </w:pPr>
              </w:p>
            </w:tc>
            <w:tc>
              <w:tcPr>
                <w:tcW w:w="1808" w:type="dxa"/>
                <w:shd w:val="clear" w:color="auto" w:fill="auto"/>
              </w:tcPr>
              <w:p w14:paraId="5D2A1F8D" w14:textId="77777777" w:rsidR="00091DBD" w:rsidRPr="00C41F6E" w:rsidRDefault="00091DBD" w:rsidP="00091DBD">
                <w:pPr>
                  <w:spacing w:after="0"/>
                  <w:rPr>
                    <w:sz w:val="16"/>
                    <w:szCs w:val="16"/>
                  </w:rPr>
                </w:pPr>
              </w:p>
              <w:p w14:paraId="34093F7D" w14:textId="77777777" w:rsidR="00091DBD" w:rsidRPr="00C41F6E" w:rsidRDefault="00091DBD" w:rsidP="00091DBD">
                <w:pPr>
                  <w:spacing w:after="0"/>
                  <w:rPr>
                    <w:sz w:val="16"/>
                    <w:szCs w:val="16"/>
                  </w:rPr>
                </w:pPr>
                <w:r w:rsidRPr="00C41F6E">
                  <w:rPr>
                    <w:sz w:val="16"/>
                    <w:szCs w:val="16"/>
                  </w:rPr>
                  <w:t xml:space="preserve">      </w:t>
                </w:r>
                <w:r>
                  <w:rPr>
                    <w:noProof/>
                    <w:color w:val="0000FF"/>
                    <w:sz w:val="16"/>
                    <w:szCs w:val="16"/>
                  </w:rPr>
                  <w:drawing>
                    <wp:inline distT="0" distB="0" distL="0" distR="0" wp14:anchorId="3457B9A2" wp14:editId="2479547E">
                      <wp:extent cx="695960" cy="784860"/>
                      <wp:effectExtent l="19050" t="0" r="8890" b="0"/>
                      <wp:docPr id="4" name="Immagine 9"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srcRect/>
                              <a:stretch>
                                <a:fillRect/>
                              </a:stretch>
                            </pic:blipFill>
                            <pic:spPr bwMode="auto">
                              <a:xfrm>
                                <a:off x="0" y="0"/>
                                <a:ext cx="695960" cy="784860"/>
                              </a:xfrm>
                              <a:prstGeom prst="rect">
                                <a:avLst/>
                              </a:prstGeom>
                              <a:noFill/>
                              <a:ln w="9525">
                                <a:noFill/>
                                <a:miter lim="800000"/>
                                <a:headEnd/>
                                <a:tailEnd/>
                              </a:ln>
                            </pic:spPr>
                          </pic:pic>
                        </a:graphicData>
                      </a:graphic>
                    </wp:inline>
                  </w:drawing>
                </w:r>
              </w:p>
            </w:tc>
            <w:tc>
              <w:tcPr>
                <w:tcW w:w="1809" w:type="dxa"/>
                <w:shd w:val="clear" w:color="auto" w:fill="auto"/>
              </w:tcPr>
              <w:p w14:paraId="61D55B07" w14:textId="77777777" w:rsidR="00091DBD" w:rsidRDefault="00091DBD" w:rsidP="00091DBD">
                <w:pPr>
                  <w:spacing w:after="0"/>
                </w:pPr>
                <w:r>
                  <w:rPr>
                    <w:noProof/>
                  </w:rPr>
                  <w:drawing>
                    <wp:anchor distT="0" distB="0" distL="114300" distR="114300" simplePos="0" relativeHeight="251659264" behindDoc="0" locked="0" layoutInCell="1" allowOverlap="1" wp14:anchorId="5DAB3B0A" wp14:editId="0D04E399">
                      <wp:simplePos x="0" y="0"/>
                      <wp:positionH relativeFrom="column">
                        <wp:posOffset>239395</wp:posOffset>
                      </wp:positionH>
                      <wp:positionV relativeFrom="paragraph">
                        <wp:posOffset>97155</wp:posOffset>
                      </wp:positionV>
                      <wp:extent cx="508000" cy="833755"/>
                      <wp:effectExtent l="19050" t="0" r="635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08000" cy="833755"/>
                              </a:xfrm>
                              <a:prstGeom prst="rect">
                                <a:avLst/>
                              </a:prstGeom>
                              <a:noFill/>
                            </pic:spPr>
                          </pic:pic>
                        </a:graphicData>
                      </a:graphic>
                    </wp:anchor>
                  </w:drawing>
                </w:r>
              </w:p>
            </w:tc>
          </w:tr>
        </w:tbl>
        <w:p w14:paraId="38B1E5C4" w14:textId="77777777" w:rsidR="00091DBD" w:rsidRPr="00881E0A" w:rsidRDefault="00091DBD" w:rsidP="00091DBD">
          <w:pPr>
            <w:spacing w:after="0"/>
            <w:ind w:hanging="70"/>
          </w:pPr>
        </w:p>
      </w:tc>
      <w:tc>
        <w:tcPr>
          <w:tcW w:w="4079" w:type="dxa"/>
          <w:tcBorders>
            <w:top w:val="single" w:sz="4" w:space="0" w:color="auto"/>
            <w:left w:val="single" w:sz="4" w:space="0" w:color="auto"/>
            <w:bottom w:val="nil"/>
          </w:tcBorders>
          <w:shd w:val="clear" w:color="auto" w:fill="auto"/>
        </w:tcPr>
        <w:p w14:paraId="1BC865C6" w14:textId="77777777" w:rsidR="00091DBD" w:rsidRPr="00703341" w:rsidRDefault="00091DBD" w:rsidP="00C86FB0">
          <w:pPr>
            <w:widowControl/>
            <w:tabs>
              <w:tab w:val="center" w:pos="4819"/>
              <w:tab w:val="right" w:pos="9638"/>
            </w:tabs>
            <w:spacing w:before="60" w:after="0" w:line="240" w:lineRule="atLeast"/>
            <w:jc w:val="center"/>
            <w:rPr>
              <w:rFonts w:cs="Arial"/>
              <w:b/>
            </w:rPr>
          </w:pPr>
          <w:r w:rsidRPr="00703341">
            <w:rPr>
              <w:rFonts w:cs="Arial"/>
              <w:b/>
            </w:rPr>
            <w:t>Regione Puglia</w:t>
          </w:r>
        </w:p>
        <w:p w14:paraId="71F52109" w14:textId="77777777" w:rsidR="00091DBD" w:rsidRPr="00703341" w:rsidRDefault="00091DBD" w:rsidP="00091DBD">
          <w:pPr>
            <w:widowControl/>
            <w:tabs>
              <w:tab w:val="center" w:pos="4819"/>
              <w:tab w:val="right" w:pos="9638"/>
            </w:tabs>
            <w:spacing w:after="0" w:line="240" w:lineRule="atLeast"/>
            <w:jc w:val="center"/>
            <w:rPr>
              <w:rFonts w:cs="Arial"/>
            </w:rPr>
          </w:pPr>
          <w:r w:rsidRPr="00703341">
            <w:rPr>
              <w:rFonts w:cs="Arial"/>
            </w:rPr>
            <w:t>Procedure del personale dell’AdG per la gestione del POR 2014-2020 (FESR)</w:t>
          </w:r>
        </w:p>
        <w:p w14:paraId="64015ABE" w14:textId="77777777" w:rsidR="00091DBD" w:rsidRPr="00703341" w:rsidRDefault="00091DBD" w:rsidP="00091DBD">
          <w:pPr>
            <w:widowControl/>
            <w:tabs>
              <w:tab w:val="center" w:pos="4819"/>
              <w:tab w:val="right" w:pos="9638"/>
            </w:tabs>
            <w:spacing w:after="0" w:line="240" w:lineRule="atLeast"/>
            <w:jc w:val="center"/>
            <w:rPr>
              <w:rFonts w:cs="Arial"/>
              <w:b/>
              <w:sz w:val="16"/>
              <w:szCs w:val="16"/>
            </w:rPr>
          </w:pPr>
        </w:p>
        <w:p w14:paraId="23030A42" w14:textId="0DC630A1" w:rsidR="00091DBD" w:rsidRPr="00BD21DD" w:rsidRDefault="00091DBD" w:rsidP="00091DBD">
          <w:pPr>
            <w:widowControl/>
            <w:tabs>
              <w:tab w:val="center" w:pos="4819"/>
              <w:tab w:val="right" w:pos="9638"/>
            </w:tabs>
            <w:spacing w:after="0" w:line="240" w:lineRule="atLeast"/>
            <w:jc w:val="center"/>
            <w:rPr>
              <w:rFonts w:cs="Arial"/>
              <w:b/>
            </w:rPr>
          </w:pPr>
          <w:r w:rsidRPr="00703341">
            <w:rPr>
              <w:rFonts w:cs="Arial"/>
              <w:b/>
            </w:rPr>
            <w:t xml:space="preserve">POS C.1e in vigore </w:t>
          </w:r>
          <w:r w:rsidRPr="00BD21DD">
            <w:rPr>
              <w:rFonts w:cs="Arial"/>
              <w:b/>
            </w:rPr>
            <w:t xml:space="preserve">dal </w:t>
          </w:r>
          <w:r w:rsidR="00791A17">
            <w:rPr>
              <w:rFonts w:cs="Arial"/>
              <w:b/>
            </w:rPr>
            <w:t>8</w:t>
          </w:r>
          <w:r w:rsidR="00BD21DD" w:rsidRPr="00BD21DD">
            <w:rPr>
              <w:rFonts w:cs="Arial"/>
              <w:b/>
            </w:rPr>
            <w:t>/</w:t>
          </w:r>
          <w:r w:rsidR="00791A17">
            <w:rPr>
              <w:rFonts w:cs="Arial"/>
              <w:b/>
            </w:rPr>
            <w:t>10</w:t>
          </w:r>
          <w:r w:rsidRPr="00BD21DD">
            <w:rPr>
              <w:rFonts w:cs="Arial"/>
              <w:b/>
            </w:rPr>
            <w:t>/2020</w:t>
          </w:r>
        </w:p>
        <w:p w14:paraId="46AD5AA5" w14:textId="77777777" w:rsidR="00091DBD" w:rsidRPr="00207BA1" w:rsidRDefault="00091DBD" w:rsidP="00C86FB0">
          <w:pPr>
            <w:pStyle w:val="Intestazione"/>
            <w:spacing w:after="60"/>
            <w:jc w:val="center"/>
            <w:rPr>
              <w:b/>
            </w:rPr>
          </w:pPr>
          <w:r w:rsidRPr="00BD21DD">
            <w:rPr>
              <w:rFonts w:ascii="Arial" w:hAnsi="Arial" w:cs="Arial"/>
              <w:b/>
              <w:sz w:val="18"/>
              <w:szCs w:val="18"/>
            </w:rPr>
            <w:t>Vers.  3</w:t>
          </w:r>
        </w:p>
      </w:tc>
    </w:tr>
    <w:tr w:rsidR="00091DBD" w:rsidRPr="00DB4063" w14:paraId="4BB91CF3" w14:textId="77777777" w:rsidTr="0023411A">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14:paraId="2CA68A84" w14:textId="77777777" w:rsidR="00091DBD" w:rsidRPr="00601CD7" w:rsidRDefault="00091DBD" w:rsidP="00091DBD">
          <w:pPr>
            <w:pStyle w:val="Intestazione"/>
            <w:rPr>
              <w:b/>
              <w:sz w:val="8"/>
              <w:szCs w:val="8"/>
            </w:rPr>
          </w:pPr>
        </w:p>
        <w:p w14:paraId="0C1CC4B2" w14:textId="77777777" w:rsidR="00091DBD" w:rsidRPr="00E23B2D" w:rsidRDefault="00091DBD" w:rsidP="00091DBD">
          <w:pPr>
            <w:pStyle w:val="Intestazione"/>
            <w:jc w:val="center"/>
            <w:rPr>
              <w:b/>
              <w:sz w:val="24"/>
            </w:rPr>
          </w:pPr>
          <w:r w:rsidRPr="00E23B2D">
            <w:rPr>
              <w:b/>
              <w:sz w:val="24"/>
            </w:rPr>
            <w:t>Procedura Operativa Standard</w:t>
          </w:r>
        </w:p>
        <w:p w14:paraId="5F6C5BF1" w14:textId="77777777" w:rsidR="005A56D5" w:rsidRDefault="00091DBD" w:rsidP="00A578FF">
          <w:pPr>
            <w:pStyle w:val="Intestazione"/>
            <w:spacing w:before="60" w:line="276" w:lineRule="auto"/>
            <w:jc w:val="center"/>
            <w:rPr>
              <w:rFonts w:ascii="Arial" w:hAnsi="Arial" w:cs="Arial"/>
            </w:rPr>
          </w:pPr>
          <w:r w:rsidRPr="00A578FF">
            <w:rPr>
              <w:rFonts w:ascii="Arial" w:hAnsi="Arial" w:cs="Arial"/>
              <w:b/>
              <w:color w:val="00B050"/>
              <w:sz w:val="28"/>
              <w:szCs w:val="28"/>
            </w:rPr>
            <w:t>Selezione delle operazioni per la realizzazione di OO</w:t>
          </w:r>
          <w:r w:rsidR="005369E5" w:rsidRPr="00A578FF">
            <w:rPr>
              <w:rFonts w:ascii="Arial" w:hAnsi="Arial" w:cs="Arial"/>
              <w:b/>
              <w:color w:val="00B050"/>
              <w:sz w:val="28"/>
              <w:szCs w:val="28"/>
            </w:rPr>
            <w:t>.</w:t>
          </w:r>
          <w:r w:rsidRPr="00A578FF">
            <w:rPr>
              <w:rFonts w:ascii="Arial" w:hAnsi="Arial" w:cs="Arial"/>
              <w:b/>
              <w:color w:val="00B050"/>
              <w:sz w:val="28"/>
              <w:szCs w:val="28"/>
            </w:rPr>
            <w:t>PP</w:t>
          </w:r>
          <w:r w:rsidR="005369E5" w:rsidRPr="00A578FF">
            <w:rPr>
              <w:rFonts w:ascii="Arial" w:hAnsi="Arial" w:cs="Arial"/>
              <w:b/>
              <w:color w:val="00B050"/>
              <w:sz w:val="28"/>
              <w:szCs w:val="28"/>
            </w:rPr>
            <w:t>.</w:t>
          </w:r>
        </w:p>
        <w:p w14:paraId="726CDA01" w14:textId="5D5D4D53" w:rsidR="00A578FF" w:rsidRDefault="00091DBD" w:rsidP="005A56D5">
          <w:pPr>
            <w:pStyle w:val="Intestazione"/>
            <w:spacing w:line="276" w:lineRule="auto"/>
            <w:jc w:val="center"/>
            <w:rPr>
              <w:rFonts w:ascii="Arial" w:hAnsi="Arial" w:cs="Arial"/>
              <w:b/>
              <w:color w:val="00B050"/>
              <w:sz w:val="28"/>
              <w:szCs w:val="28"/>
            </w:rPr>
          </w:pPr>
          <w:r w:rsidRPr="00A578FF">
            <w:rPr>
              <w:rFonts w:ascii="Arial" w:hAnsi="Arial" w:cs="Arial"/>
              <w:b/>
              <w:color w:val="00B050"/>
              <w:sz w:val="28"/>
              <w:szCs w:val="28"/>
            </w:rPr>
            <w:t>e l’acquisizione di beni e servizi mediante Avviso pubblico</w:t>
          </w:r>
        </w:p>
        <w:p w14:paraId="46B292DE" w14:textId="2260B0D7" w:rsidR="00091DBD" w:rsidRPr="00A578FF" w:rsidRDefault="00091DBD" w:rsidP="00A578FF">
          <w:pPr>
            <w:pStyle w:val="Intestazione"/>
            <w:spacing w:after="60" w:line="276" w:lineRule="auto"/>
            <w:jc w:val="center"/>
            <w:rPr>
              <w:rFonts w:ascii="Arial" w:hAnsi="Arial" w:cs="Arial"/>
              <w:b/>
              <w:color w:val="00B050"/>
              <w:sz w:val="28"/>
              <w:szCs w:val="28"/>
            </w:rPr>
          </w:pPr>
          <w:r w:rsidRPr="00A578FF">
            <w:rPr>
              <w:rFonts w:ascii="Arial" w:hAnsi="Arial" w:cs="Arial"/>
              <w:b/>
              <w:color w:val="00B050"/>
              <w:sz w:val="28"/>
              <w:szCs w:val="28"/>
            </w:rPr>
            <w:t>(a regia regionale)</w:t>
          </w:r>
        </w:p>
      </w:tc>
    </w:tr>
  </w:tbl>
  <w:p w14:paraId="17986900" w14:textId="77777777" w:rsidR="00091DBD" w:rsidRDefault="00091DB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2626"/>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 w15:restartNumberingAfterBreak="0">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0E575D"/>
    <w:multiLevelType w:val="hybridMultilevel"/>
    <w:tmpl w:val="B60A2A08"/>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 w15:restartNumberingAfterBreak="0">
    <w:nsid w:val="157C726A"/>
    <w:multiLevelType w:val="hybridMultilevel"/>
    <w:tmpl w:val="55FE790C"/>
    <w:lvl w:ilvl="0" w:tplc="04100019">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4" w15:restartNumberingAfterBreak="0">
    <w:nsid w:val="1BF23894"/>
    <w:multiLevelType w:val="hybridMultilevel"/>
    <w:tmpl w:val="A64AE36A"/>
    <w:lvl w:ilvl="0" w:tplc="04100001">
      <w:start w:val="1"/>
      <w:numFmt w:val="bullet"/>
      <w:lvlText w:val=""/>
      <w:lvlJc w:val="left"/>
      <w:pPr>
        <w:ind w:left="1996" w:hanging="360"/>
      </w:pPr>
      <w:rPr>
        <w:rFonts w:ascii="Symbol" w:hAnsi="Symbol"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5" w15:restartNumberingAfterBreak="0">
    <w:nsid w:val="1C581748"/>
    <w:multiLevelType w:val="hybridMultilevel"/>
    <w:tmpl w:val="442A7C76"/>
    <w:lvl w:ilvl="0" w:tplc="0410000F">
      <w:start w:val="1"/>
      <w:numFmt w:val="decimal"/>
      <w:lvlText w:val="%1."/>
      <w:lvlJc w:val="left"/>
      <w:pPr>
        <w:ind w:left="814" w:hanging="360"/>
      </w:p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6" w15:restartNumberingAfterBreak="0">
    <w:nsid w:val="1CA46BC3"/>
    <w:multiLevelType w:val="hybridMultilevel"/>
    <w:tmpl w:val="2ECE2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8E7F75"/>
    <w:multiLevelType w:val="hybridMultilevel"/>
    <w:tmpl w:val="18087098"/>
    <w:lvl w:ilvl="0" w:tplc="620E1966">
      <w:numFmt w:val="bullet"/>
      <w:lvlText w:val="-"/>
      <w:lvlJc w:val="left"/>
      <w:pPr>
        <w:ind w:left="1996" w:hanging="360"/>
      </w:pPr>
      <w:rPr>
        <w:rFonts w:ascii="Calibri Light" w:eastAsia="Calibri Light" w:hAnsi="Calibri Light" w:cs="Calibri Light" w:hint="default"/>
        <w:w w:val="105"/>
        <w:sz w:val="21"/>
        <w:szCs w:val="21"/>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8" w15:restartNumberingAfterBreak="0">
    <w:nsid w:val="20F930EA"/>
    <w:multiLevelType w:val="hybridMultilevel"/>
    <w:tmpl w:val="2BC221D0"/>
    <w:lvl w:ilvl="0" w:tplc="A27CD698">
      <w:start w:val="1"/>
      <w:numFmt w:val="lowerLetter"/>
      <w:lvlText w:val="%1)"/>
      <w:lvlJc w:val="left"/>
      <w:pPr>
        <w:ind w:left="1068" w:hanging="360"/>
      </w:pPr>
      <w:rPr>
        <w:rFonts w:hint="default"/>
        <w:i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28D07CB4"/>
    <w:multiLevelType w:val="hybridMultilevel"/>
    <w:tmpl w:val="8F923FC2"/>
    <w:lvl w:ilvl="0" w:tplc="04100019">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0" w15:restartNumberingAfterBreak="0">
    <w:nsid w:val="37417F75"/>
    <w:multiLevelType w:val="hybridMultilevel"/>
    <w:tmpl w:val="920C53F4"/>
    <w:lvl w:ilvl="0" w:tplc="7DD4D622">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1" w15:restartNumberingAfterBreak="0">
    <w:nsid w:val="3A202D95"/>
    <w:multiLevelType w:val="hybridMultilevel"/>
    <w:tmpl w:val="E1D8C8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D0B04BC"/>
    <w:multiLevelType w:val="hybridMultilevel"/>
    <w:tmpl w:val="0B74A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AE3F39"/>
    <w:multiLevelType w:val="hybridMultilevel"/>
    <w:tmpl w:val="3C4A5306"/>
    <w:lvl w:ilvl="0" w:tplc="620E1966">
      <w:numFmt w:val="bullet"/>
      <w:lvlText w:val="-"/>
      <w:lvlJc w:val="left"/>
      <w:pPr>
        <w:ind w:left="720" w:hanging="360"/>
      </w:pPr>
      <w:rPr>
        <w:rFonts w:ascii="Calibri Light" w:eastAsia="Calibri Light" w:hAnsi="Calibri Light" w:cs="Calibri Light" w:hint="default"/>
        <w:w w:val="105"/>
        <w:sz w:val="21"/>
        <w:szCs w:val="21"/>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CF87CFB"/>
    <w:multiLevelType w:val="hybridMultilevel"/>
    <w:tmpl w:val="0D32B4F2"/>
    <w:lvl w:ilvl="0" w:tplc="04100011">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5" w15:restartNumberingAfterBreak="0">
    <w:nsid w:val="4EC75E64"/>
    <w:multiLevelType w:val="hybridMultilevel"/>
    <w:tmpl w:val="55FE790C"/>
    <w:lvl w:ilvl="0" w:tplc="04100019">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6" w15:restartNumberingAfterBreak="0">
    <w:nsid w:val="51BA09CF"/>
    <w:multiLevelType w:val="hybridMultilevel"/>
    <w:tmpl w:val="0832BDF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69964BB"/>
    <w:multiLevelType w:val="hybridMultilevel"/>
    <w:tmpl w:val="2D7E9B1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56BC24EE"/>
    <w:multiLevelType w:val="hybridMultilevel"/>
    <w:tmpl w:val="7A6ADA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F0F1B5D"/>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0" w15:restartNumberingAfterBreak="0">
    <w:nsid w:val="6209418F"/>
    <w:multiLevelType w:val="hybridMultilevel"/>
    <w:tmpl w:val="99107D86"/>
    <w:lvl w:ilvl="0" w:tplc="04100001">
      <w:start w:val="1"/>
      <w:numFmt w:val="bullet"/>
      <w:lvlText w:val=""/>
      <w:lvlJc w:val="left"/>
      <w:pPr>
        <w:ind w:left="1954" w:hanging="360"/>
      </w:pPr>
      <w:rPr>
        <w:rFonts w:ascii="Symbol" w:hAnsi="Symbol" w:hint="default"/>
      </w:rPr>
    </w:lvl>
    <w:lvl w:ilvl="1" w:tplc="04100003" w:tentative="1">
      <w:start w:val="1"/>
      <w:numFmt w:val="bullet"/>
      <w:lvlText w:val="o"/>
      <w:lvlJc w:val="left"/>
      <w:pPr>
        <w:ind w:left="2674" w:hanging="360"/>
      </w:pPr>
      <w:rPr>
        <w:rFonts w:ascii="Courier New" w:hAnsi="Courier New" w:cs="Courier New" w:hint="default"/>
      </w:rPr>
    </w:lvl>
    <w:lvl w:ilvl="2" w:tplc="04100005" w:tentative="1">
      <w:start w:val="1"/>
      <w:numFmt w:val="bullet"/>
      <w:lvlText w:val=""/>
      <w:lvlJc w:val="left"/>
      <w:pPr>
        <w:ind w:left="3394" w:hanging="360"/>
      </w:pPr>
      <w:rPr>
        <w:rFonts w:ascii="Wingdings" w:hAnsi="Wingdings" w:hint="default"/>
      </w:rPr>
    </w:lvl>
    <w:lvl w:ilvl="3" w:tplc="04100001" w:tentative="1">
      <w:start w:val="1"/>
      <w:numFmt w:val="bullet"/>
      <w:lvlText w:val=""/>
      <w:lvlJc w:val="left"/>
      <w:pPr>
        <w:ind w:left="4114" w:hanging="360"/>
      </w:pPr>
      <w:rPr>
        <w:rFonts w:ascii="Symbol" w:hAnsi="Symbol" w:hint="default"/>
      </w:rPr>
    </w:lvl>
    <w:lvl w:ilvl="4" w:tplc="04100003" w:tentative="1">
      <w:start w:val="1"/>
      <w:numFmt w:val="bullet"/>
      <w:lvlText w:val="o"/>
      <w:lvlJc w:val="left"/>
      <w:pPr>
        <w:ind w:left="4834" w:hanging="360"/>
      </w:pPr>
      <w:rPr>
        <w:rFonts w:ascii="Courier New" w:hAnsi="Courier New" w:cs="Courier New" w:hint="default"/>
      </w:rPr>
    </w:lvl>
    <w:lvl w:ilvl="5" w:tplc="04100005" w:tentative="1">
      <w:start w:val="1"/>
      <w:numFmt w:val="bullet"/>
      <w:lvlText w:val=""/>
      <w:lvlJc w:val="left"/>
      <w:pPr>
        <w:ind w:left="5554" w:hanging="360"/>
      </w:pPr>
      <w:rPr>
        <w:rFonts w:ascii="Wingdings" w:hAnsi="Wingdings" w:hint="default"/>
      </w:rPr>
    </w:lvl>
    <w:lvl w:ilvl="6" w:tplc="04100001" w:tentative="1">
      <w:start w:val="1"/>
      <w:numFmt w:val="bullet"/>
      <w:lvlText w:val=""/>
      <w:lvlJc w:val="left"/>
      <w:pPr>
        <w:ind w:left="6274" w:hanging="360"/>
      </w:pPr>
      <w:rPr>
        <w:rFonts w:ascii="Symbol" w:hAnsi="Symbol" w:hint="default"/>
      </w:rPr>
    </w:lvl>
    <w:lvl w:ilvl="7" w:tplc="04100003" w:tentative="1">
      <w:start w:val="1"/>
      <w:numFmt w:val="bullet"/>
      <w:lvlText w:val="o"/>
      <w:lvlJc w:val="left"/>
      <w:pPr>
        <w:ind w:left="6994" w:hanging="360"/>
      </w:pPr>
      <w:rPr>
        <w:rFonts w:ascii="Courier New" w:hAnsi="Courier New" w:cs="Courier New" w:hint="default"/>
      </w:rPr>
    </w:lvl>
    <w:lvl w:ilvl="8" w:tplc="04100005" w:tentative="1">
      <w:start w:val="1"/>
      <w:numFmt w:val="bullet"/>
      <w:lvlText w:val=""/>
      <w:lvlJc w:val="left"/>
      <w:pPr>
        <w:ind w:left="7714" w:hanging="360"/>
      </w:pPr>
      <w:rPr>
        <w:rFonts w:ascii="Wingdings" w:hAnsi="Wingdings" w:hint="default"/>
      </w:rPr>
    </w:lvl>
  </w:abstractNum>
  <w:abstractNum w:abstractNumId="21" w15:restartNumberingAfterBreak="0">
    <w:nsid w:val="62BB6AC7"/>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2" w15:restartNumberingAfterBreak="0">
    <w:nsid w:val="62F944DE"/>
    <w:multiLevelType w:val="hybridMultilevel"/>
    <w:tmpl w:val="E3EC988C"/>
    <w:lvl w:ilvl="0" w:tplc="04100001">
      <w:start w:val="1"/>
      <w:numFmt w:val="bullet"/>
      <w:lvlText w:val=""/>
      <w:lvlJc w:val="left"/>
      <w:pPr>
        <w:ind w:left="1174" w:hanging="360"/>
      </w:pPr>
      <w:rPr>
        <w:rFonts w:ascii="Symbol" w:hAnsi="Symbol" w:hint="default"/>
      </w:rPr>
    </w:lvl>
    <w:lvl w:ilvl="1" w:tplc="9EA6BBCC">
      <w:numFmt w:val="bullet"/>
      <w:lvlText w:val="-"/>
      <w:lvlJc w:val="left"/>
      <w:pPr>
        <w:ind w:left="1894" w:hanging="360"/>
      </w:pPr>
      <w:rPr>
        <w:rFonts w:ascii="Arial" w:eastAsia="Times New Roman" w:hAnsi="Arial" w:cs="Arial"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3" w15:restartNumberingAfterBreak="0">
    <w:nsid w:val="684853B3"/>
    <w:multiLevelType w:val="hybridMultilevel"/>
    <w:tmpl w:val="3CB08910"/>
    <w:lvl w:ilvl="0" w:tplc="BF5CA6EC">
      <w:start w:val="1"/>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8F6787F"/>
    <w:multiLevelType w:val="hybridMultilevel"/>
    <w:tmpl w:val="21563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7E2437"/>
    <w:multiLevelType w:val="hybridMultilevel"/>
    <w:tmpl w:val="2DA44BDC"/>
    <w:lvl w:ilvl="0" w:tplc="04100001">
      <w:start w:val="1"/>
      <w:numFmt w:val="bullet"/>
      <w:lvlText w:val=""/>
      <w:lvlJc w:val="left"/>
      <w:pPr>
        <w:ind w:left="814" w:hanging="360"/>
      </w:pPr>
      <w:rPr>
        <w:rFonts w:ascii="Symbol" w:hAnsi="Symbol"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6" w15:restartNumberingAfterBreak="0">
    <w:nsid w:val="6EDC4D50"/>
    <w:multiLevelType w:val="hybridMultilevel"/>
    <w:tmpl w:val="22380994"/>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7449C0"/>
    <w:multiLevelType w:val="hybridMultilevel"/>
    <w:tmpl w:val="1AA21864"/>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15:restartNumberingAfterBreak="0">
    <w:nsid w:val="719C3556"/>
    <w:multiLevelType w:val="hybridMultilevel"/>
    <w:tmpl w:val="AE30F992"/>
    <w:lvl w:ilvl="0" w:tplc="9A5410D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3866EE"/>
    <w:multiLevelType w:val="hybridMultilevel"/>
    <w:tmpl w:val="11E6FF28"/>
    <w:lvl w:ilvl="0" w:tplc="9EA6BBCC">
      <w:numFmt w:val="bullet"/>
      <w:lvlText w:val="-"/>
      <w:lvlJc w:val="left"/>
      <w:pPr>
        <w:ind w:left="1534" w:hanging="360"/>
      </w:pPr>
      <w:rPr>
        <w:rFonts w:ascii="Arial" w:eastAsia="Times New Roman" w:hAnsi="Arial" w:cs="Arial" w:hint="default"/>
      </w:rPr>
    </w:lvl>
    <w:lvl w:ilvl="1" w:tplc="04100003" w:tentative="1">
      <w:start w:val="1"/>
      <w:numFmt w:val="bullet"/>
      <w:lvlText w:val="o"/>
      <w:lvlJc w:val="left"/>
      <w:pPr>
        <w:ind w:left="2254" w:hanging="360"/>
      </w:pPr>
      <w:rPr>
        <w:rFonts w:ascii="Courier New" w:hAnsi="Courier New" w:cs="Courier New" w:hint="default"/>
      </w:rPr>
    </w:lvl>
    <w:lvl w:ilvl="2" w:tplc="04100005" w:tentative="1">
      <w:start w:val="1"/>
      <w:numFmt w:val="bullet"/>
      <w:lvlText w:val=""/>
      <w:lvlJc w:val="left"/>
      <w:pPr>
        <w:ind w:left="2974" w:hanging="360"/>
      </w:pPr>
      <w:rPr>
        <w:rFonts w:ascii="Wingdings" w:hAnsi="Wingdings" w:hint="default"/>
      </w:rPr>
    </w:lvl>
    <w:lvl w:ilvl="3" w:tplc="04100001" w:tentative="1">
      <w:start w:val="1"/>
      <w:numFmt w:val="bullet"/>
      <w:lvlText w:val=""/>
      <w:lvlJc w:val="left"/>
      <w:pPr>
        <w:ind w:left="3694" w:hanging="360"/>
      </w:pPr>
      <w:rPr>
        <w:rFonts w:ascii="Symbol" w:hAnsi="Symbol" w:hint="default"/>
      </w:rPr>
    </w:lvl>
    <w:lvl w:ilvl="4" w:tplc="04100003" w:tentative="1">
      <w:start w:val="1"/>
      <w:numFmt w:val="bullet"/>
      <w:lvlText w:val="o"/>
      <w:lvlJc w:val="left"/>
      <w:pPr>
        <w:ind w:left="4414" w:hanging="360"/>
      </w:pPr>
      <w:rPr>
        <w:rFonts w:ascii="Courier New" w:hAnsi="Courier New" w:cs="Courier New" w:hint="default"/>
      </w:rPr>
    </w:lvl>
    <w:lvl w:ilvl="5" w:tplc="04100005" w:tentative="1">
      <w:start w:val="1"/>
      <w:numFmt w:val="bullet"/>
      <w:lvlText w:val=""/>
      <w:lvlJc w:val="left"/>
      <w:pPr>
        <w:ind w:left="5134" w:hanging="360"/>
      </w:pPr>
      <w:rPr>
        <w:rFonts w:ascii="Wingdings" w:hAnsi="Wingdings" w:hint="default"/>
      </w:rPr>
    </w:lvl>
    <w:lvl w:ilvl="6" w:tplc="04100001" w:tentative="1">
      <w:start w:val="1"/>
      <w:numFmt w:val="bullet"/>
      <w:lvlText w:val=""/>
      <w:lvlJc w:val="left"/>
      <w:pPr>
        <w:ind w:left="5854" w:hanging="360"/>
      </w:pPr>
      <w:rPr>
        <w:rFonts w:ascii="Symbol" w:hAnsi="Symbol" w:hint="default"/>
      </w:rPr>
    </w:lvl>
    <w:lvl w:ilvl="7" w:tplc="04100003" w:tentative="1">
      <w:start w:val="1"/>
      <w:numFmt w:val="bullet"/>
      <w:lvlText w:val="o"/>
      <w:lvlJc w:val="left"/>
      <w:pPr>
        <w:ind w:left="6574" w:hanging="360"/>
      </w:pPr>
      <w:rPr>
        <w:rFonts w:ascii="Courier New" w:hAnsi="Courier New" w:cs="Courier New" w:hint="default"/>
      </w:rPr>
    </w:lvl>
    <w:lvl w:ilvl="8" w:tplc="04100005" w:tentative="1">
      <w:start w:val="1"/>
      <w:numFmt w:val="bullet"/>
      <w:lvlText w:val=""/>
      <w:lvlJc w:val="left"/>
      <w:pPr>
        <w:ind w:left="7294" w:hanging="360"/>
      </w:pPr>
      <w:rPr>
        <w:rFonts w:ascii="Wingdings" w:hAnsi="Wingdings" w:hint="default"/>
      </w:rPr>
    </w:lvl>
  </w:abstractNum>
  <w:abstractNum w:abstractNumId="30" w15:restartNumberingAfterBreak="0">
    <w:nsid w:val="75905A56"/>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1" w15:restartNumberingAfterBreak="0">
    <w:nsid w:val="76C64CCB"/>
    <w:multiLevelType w:val="hybridMultilevel"/>
    <w:tmpl w:val="442A7C76"/>
    <w:lvl w:ilvl="0" w:tplc="0410000F">
      <w:start w:val="1"/>
      <w:numFmt w:val="decimal"/>
      <w:lvlText w:val="%1."/>
      <w:lvlJc w:val="left"/>
      <w:pPr>
        <w:ind w:left="814" w:hanging="360"/>
      </w:p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num w:numId="1">
    <w:abstractNumId w:val="10"/>
  </w:num>
  <w:num w:numId="2">
    <w:abstractNumId w:val="27"/>
  </w:num>
  <w:num w:numId="3">
    <w:abstractNumId w:val="22"/>
  </w:num>
  <w:num w:numId="4">
    <w:abstractNumId w:val="9"/>
  </w:num>
  <w:num w:numId="5">
    <w:abstractNumId w:val="17"/>
  </w:num>
  <w:num w:numId="6">
    <w:abstractNumId w:val="3"/>
  </w:num>
  <w:num w:numId="7">
    <w:abstractNumId w:val="14"/>
  </w:num>
  <w:num w:numId="8">
    <w:abstractNumId w:val="1"/>
  </w:num>
  <w:num w:numId="9">
    <w:abstractNumId w:val="21"/>
  </w:num>
  <w:num w:numId="10">
    <w:abstractNumId w:val="26"/>
  </w:num>
  <w:num w:numId="11">
    <w:abstractNumId w:val="8"/>
  </w:num>
  <w:num w:numId="12">
    <w:abstractNumId w:val="20"/>
  </w:num>
  <w:num w:numId="13">
    <w:abstractNumId w:val="28"/>
  </w:num>
  <w:num w:numId="14">
    <w:abstractNumId w:val="23"/>
  </w:num>
  <w:num w:numId="15">
    <w:abstractNumId w:val="16"/>
  </w:num>
  <w:num w:numId="16">
    <w:abstractNumId w:val="25"/>
  </w:num>
  <w:num w:numId="17">
    <w:abstractNumId w:val="0"/>
  </w:num>
  <w:num w:numId="18">
    <w:abstractNumId w:val="19"/>
  </w:num>
  <w:num w:numId="19">
    <w:abstractNumId w:val="30"/>
  </w:num>
  <w:num w:numId="20">
    <w:abstractNumId w:val="11"/>
  </w:num>
  <w:num w:numId="21">
    <w:abstractNumId w:val="12"/>
  </w:num>
  <w:num w:numId="22">
    <w:abstractNumId w:val="15"/>
  </w:num>
  <w:num w:numId="23">
    <w:abstractNumId w:val="18"/>
  </w:num>
  <w:num w:numId="24">
    <w:abstractNumId w:val="29"/>
  </w:num>
  <w:num w:numId="25">
    <w:abstractNumId w:val="2"/>
  </w:num>
  <w:num w:numId="26">
    <w:abstractNumId w:val="31"/>
  </w:num>
  <w:num w:numId="27">
    <w:abstractNumId w:val="5"/>
  </w:num>
  <w:num w:numId="28">
    <w:abstractNumId w:val="24"/>
  </w:num>
  <w:num w:numId="29">
    <w:abstractNumId w:val="13"/>
  </w:num>
  <w:num w:numId="30">
    <w:abstractNumId w:val="4"/>
  </w:num>
  <w:num w:numId="31">
    <w:abstractNumId w:val="7"/>
  </w:num>
  <w:num w:numId="3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31"/>
    <w:rsid w:val="0000122E"/>
    <w:rsid w:val="0000123F"/>
    <w:rsid w:val="000027AF"/>
    <w:rsid w:val="00004E91"/>
    <w:rsid w:val="00013E47"/>
    <w:rsid w:val="00016BF3"/>
    <w:rsid w:val="00020C5E"/>
    <w:rsid w:val="000325F3"/>
    <w:rsid w:val="0003560D"/>
    <w:rsid w:val="00045547"/>
    <w:rsid w:val="000457FA"/>
    <w:rsid w:val="0004653C"/>
    <w:rsid w:val="00054DDB"/>
    <w:rsid w:val="00056186"/>
    <w:rsid w:val="000638D5"/>
    <w:rsid w:val="00077580"/>
    <w:rsid w:val="00091DBD"/>
    <w:rsid w:val="000944C5"/>
    <w:rsid w:val="000A15FE"/>
    <w:rsid w:val="000A2742"/>
    <w:rsid w:val="000B0285"/>
    <w:rsid w:val="000B07A9"/>
    <w:rsid w:val="000B18B7"/>
    <w:rsid w:val="000B2DB2"/>
    <w:rsid w:val="000C7CAE"/>
    <w:rsid w:val="000D3511"/>
    <w:rsid w:val="000D42A9"/>
    <w:rsid w:val="000D48DF"/>
    <w:rsid w:val="000D6041"/>
    <w:rsid w:val="000D6525"/>
    <w:rsid w:val="000D7688"/>
    <w:rsid w:val="000E6C9C"/>
    <w:rsid w:val="000E7E49"/>
    <w:rsid w:val="00104DA5"/>
    <w:rsid w:val="0010504E"/>
    <w:rsid w:val="00105A72"/>
    <w:rsid w:val="00113C90"/>
    <w:rsid w:val="001234CC"/>
    <w:rsid w:val="00126F45"/>
    <w:rsid w:val="0013140C"/>
    <w:rsid w:val="00135641"/>
    <w:rsid w:val="00140FEC"/>
    <w:rsid w:val="00141A3C"/>
    <w:rsid w:val="00144948"/>
    <w:rsid w:val="00160D4F"/>
    <w:rsid w:val="001642BC"/>
    <w:rsid w:val="00164BAA"/>
    <w:rsid w:val="00170CB2"/>
    <w:rsid w:val="00190E8D"/>
    <w:rsid w:val="00192687"/>
    <w:rsid w:val="00193C90"/>
    <w:rsid w:val="0019503B"/>
    <w:rsid w:val="001A0ABA"/>
    <w:rsid w:val="001A758E"/>
    <w:rsid w:val="001B0A4E"/>
    <w:rsid w:val="001B45D7"/>
    <w:rsid w:val="001B615C"/>
    <w:rsid w:val="001C4E9C"/>
    <w:rsid w:val="001C7B85"/>
    <w:rsid w:val="001D063C"/>
    <w:rsid w:val="001D19EF"/>
    <w:rsid w:val="001D795C"/>
    <w:rsid w:val="001E6FFB"/>
    <w:rsid w:val="001F32A9"/>
    <w:rsid w:val="00203D73"/>
    <w:rsid w:val="00203E63"/>
    <w:rsid w:val="00204BFD"/>
    <w:rsid w:val="00207CE6"/>
    <w:rsid w:val="00211611"/>
    <w:rsid w:val="00211A85"/>
    <w:rsid w:val="00221F7A"/>
    <w:rsid w:val="00225F03"/>
    <w:rsid w:val="00235C33"/>
    <w:rsid w:val="00242BBE"/>
    <w:rsid w:val="002442AF"/>
    <w:rsid w:val="00245BD9"/>
    <w:rsid w:val="00246BCB"/>
    <w:rsid w:val="00254973"/>
    <w:rsid w:val="00256358"/>
    <w:rsid w:val="00261D0D"/>
    <w:rsid w:val="002727BF"/>
    <w:rsid w:val="00274331"/>
    <w:rsid w:val="0027541F"/>
    <w:rsid w:val="00280820"/>
    <w:rsid w:val="002814C3"/>
    <w:rsid w:val="00281BA3"/>
    <w:rsid w:val="00283941"/>
    <w:rsid w:val="00290EF2"/>
    <w:rsid w:val="002911BD"/>
    <w:rsid w:val="002A6898"/>
    <w:rsid w:val="002B5F0B"/>
    <w:rsid w:val="002B67CC"/>
    <w:rsid w:val="002B7C1E"/>
    <w:rsid w:val="002C257A"/>
    <w:rsid w:val="002C3E41"/>
    <w:rsid w:val="002C47C8"/>
    <w:rsid w:val="002D0BF9"/>
    <w:rsid w:val="002D6377"/>
    <w:rsid w:val="002D6472"/>
    <w:rsid w:val="002D74CC"/>
    <w:rsid w:val="002E1DE8"/>
    <w:rsid w:val="002E363B"/>
    <w:rsid w:val="003001CA"/>
    <w:rsid w:val="0030417C"/>
    <w:rsid w:val="0031089B"/>
    <w:rsid w:val="00315224"/>
    <w:rsid w:val="003157C4"/>
    <w:rsid w:val="003158F0"/>
    <w:rsid w:val="00315917"/>
    <w:rsid w:val="003168FC"/>
    <w:rsid w:val="0032119B"/>
    <w:rsid w:val="00321986"/>
    <w:rsid w:val="00323E5B"/>
    <w:rsid w:val="00327E14"/>
    <w:rsid w:val="003575F5"/>
    <w:rsid w:val="003608C8"/>
    <w:rsid w:val="00377150"/>
    <w:rsid w:val="00380CBB"/>
    <w:rsid w:val="00385168"/>
    <w:rsid w:val="00387D79"/>
    <w:rsid w:val="00392515"/>
    <w:rsid w:val="00393832"/>
    <w:rsid w:val="00394274"/>
    <w:rsid w:val="00395233"/>
    <w:rsid w:val="00395625"/>
    <w:rsid w:val="003A02FA"/>
    <w:rsid w:val="003A1923"/>
    <w:rsid w:val="003A677E"/>
    <w:rsid w:val="003B0E49"/>
    <w:rsid w:val="003B59B0"/>
    <w:rsid w:val="003C0BA3"/>
    <w:rsid w:val="003E1585"/>
    <w:rsid w:val="003E343F"/>
    <w:rsid w:val="003E36A6"/>
    <w:rsid w:val="003F1BF5"/>
    <w:rsid w:val="00402A6B"/>
    <w:rsid w:val="0040366B"/>
    <w:rsid w:val="00406D9F"/>
    <w:rsid w:val="0041217D"/>
    <w:rsid w:val="0041395C"/>
    <w:rsid w:val="004172F2"/>
    <w:rsid w:val="0042190E"/>
    <w:rsid w:val="00425DE5"/>
    <w:rsid w:val="00426F85"/>
    <w:rsid w:val="00432549"/>
    <w:rsid w:val="0043478E"/>
    <w:rsid w:val="00434858"/>
    <w:rsid w:val="00436AFB"/>
    <w:rsid w:val="00442C24"/>
    <w:rsid w:val="00446B67"/>
    <w:rsid w:val="004508C8"/>
    <w:rsid w:val="00454CA1"/>
    <w:rsid w:val="00465460"/>
    <w:rsid w:val="00476F14"/>
    <w:rsid w:val="00477074"/>
    <w:rsid w:val="00477DE1"/>
    <w:rsid w:val="00481C74"/>
    <w:rsid w:val="004850BF"/>
    <w:rsid w:val="00487093"/>
    <w:rsid w:val="004874A5"/>
    <w:rsid w:val="004909B5"/>
    <w:rsid w:val="00493011"/>
    <w:rsid w:val="004A0224"/>
    <w:rsid w:val="004A12B9"/>
    <w:rsid w:val="004A217C"/>
    <w:rsid w:val="004A67EE"/>
    <w:rsid w:val="004B10E4"/>
    <w:rsid w:val="004B2420"/>
    <w:rsid w:val="004C19CE"/>
    <w:rsid w:val="004C6C21"/>
    <w:rsid w:val="004D0F0F"/>
    <w:rsid w:val="004E2CC0"/>
    <w:rsid w:val="004E355D"/>
    <w:rsid w:val="005057AD"/>
    <w:rsid w:val="00506762"/>
    <w:rsid w:val="0050740F"/>
    <w:rsid w:val="005116C2"/>
    <w:rsid w:val="005131C0"/>
    <w:rsid w:val="00513BFE"/>
    <w:rsid w:val="00525D3D"/>
    <w:rsid w:val="0053565A"/>
    <w:rsid w:val="0053662C"/>
    <w:rsid w:val="005369E5"/>
    <w:rsid w:val="005404F4"/>
    <w:rsid w:val="005463CD"/>
    <w:rsid w:val="00561A83"/>
    <w:rsid w:val="005622F3"/>
    <w:rsid w:val="0056701A"/>
    <w:rsid w:val="00572187"/>
    <w:rsid w:val="00583098"/>
    <w:rsid w:val="005837F5"/>
    <w:rsid w:val="00585118"/>
    <w:rsid w:val="00585F5E"/>
    <w:rsid w:val="00590D30"/>
    <w:rsid w:val="005962AD"/>
    <w:rsid w:val="00597359"/>
    <w:rsid w:val="005A56D5"/>
    <w:rsid w:val="005B4760"/>
    <w:rsid w:val="005B4D64"/>
    <w:rsid w:val="005C0BBD"/>
    <w:rsid w:val="005C4F3C"/>
    <w:rsid w:val="005D6AD2"/>
    <w:rsid w:val="005E3176"/>
    <w:rsid w:val="005E7195"/>
    <w:rsid w:val="005F4C24"/>
    <w:rsid w:val="005F5692"/>
    <w:rsid w:val="00617ADF"/>
    <w:rsid w:val="00627E93"/>
    <w:rsid w:val="00631BE9"/>
    <w:rsid w:val="00637B17"/>
    <w:rsid w:val="00637C15"/>
    <w:rsid w:val="00643228"/>
    <w:rsid w:val="00644B13"/>
    <w:rsid w:val="006467F2"/>
    <w:rsid w:val="00652B75"/>
    <w:rsid w:val="006636BE"/>
    <w:rsid w:val="006641BE"/>
    <w:rsid w:val="00664B07"/>
    <w:rsid w:val="00680D6F"/>
    <w:rsid w:val="0068157B"/>
    <w:rsid w:val="00694D5D"/>
    <w:rsid w:val="00697F3B"/>
    <w:rsid w:val="006A10B5"/>
    <w:rsid w:val="006A316B"/>
    <w:rsid w:val="006B5159"/>
    <w:rsid w:val="006C0736"/>
    <w:rsid w:val="006C1DDD"/>
    <w:rsid w:val="006C4E7D"/>
    <w:rsid w:val="006C6CA1"/>
    <w:rsid w:val="006C7B9E"/>
    <w:rsid w:val="006D10C9"/>
    <w:rsid w:val="006D1C62"/>
    <w:rsid w:val="006D677F"/>
    <w:rsid w:val="006E0A6C"/>
    <w:rsid w:val="006E1FF3"/>
    <w:rsid w:val="006E54D5"/>
    <w:rsid w:val="006F17D8"/>
    <w:rsid w:val="0070004C"/>
    <w:rsid w:val="00703341"/>
    <w:rsid w:val="00703A2F"/>
    <w:rsid w:val="00703DDF"/>
    <w:rsid w:val="007161D5"/>
    <w:rsid w:val="007218AC"/>
    <w:rsid w:val="007322ED"/>
    <w:rsid w:val="007340F2"/>
    <w:rsid w:val="00734FCF"/>
    <w:rsid w:val="007377A8"/>
    <w:rsid w:val="007447DC"/>
    <w:rsid w:val="00746187"/>
    <w:rsid w:val="007477AA"/>
    <w:rsid w:val="0076463B"/>
    <w:rsid w:val="007714A8"/>
    <w:rsid w:val="00771AC9"/>
    <w:rsid w:val="00780A0D"/>
    <w:rsid w:val="0078205C"/>
    <w:rsid w:val="0078259D"/>
    <w:rsid w:val="00782D58"/>
    <w:rsid w:val="007839C3"/>
    <w:rsid w:val="00791A17"/>
    <w:rsid w:val="007A0C62"/>
    <w:rsid w:val="007A1372"/>
    <w:rsid w:val="007A37FA"/>
    <w:rsid w:val="007A766C"/>
    <w:rsid w:val="007A7C72"/>
    <w:rsid w:val="007B6D95"/>
    <w:rsid w:val="007C6799"/>
    <w:rsid w:val="007C6B17"/>
    <w:rsid w:val="007D0199"/>
    <w:rsid w:val="007D3C12"/>
    <w:rsid w:val="007D64DD"/>
    <w:rsid w:val="007D7EC4"/>
    <w:rsid w:val="007E5D0E"/>
    <w:rsid w:val="007E6C97"/>
    <w:rsid w:val="007F5B60"/>
    <w:rsid w:val="007F7E0F"/>
    <w:rsid w:val="00800951"/>
    <w:rsid w:val="00807839"/>
    <w:rsid w:val="00807E60"/>
    <w:rsid w:val="00811596"/>
    <w:rsid w:val="0081369A"/>
    <w:rsid w:val="008173CC"/>
    <w:rsid w:val="0082115B"/>
    <w:rsid w:val="0082175E"/>
    <w:rsid w:val="00831910"/>
    <w:rsid w:val="00833D93"/>
    <w:rsid w:val="00844D87"/>
    <w:rsid w:val="008456E3"/>
    <w:rsid w:val="00846F04"/>
    <w:rsid w:val="00857C25"/>
    <w:rsid w:val="008654FB"/>
    <w:rsid w:val="00874167"/>
    <w:rsid w:val="00880BEC"/>
    <w:rsid w:val="008832B6"/>
    <w:rsid w:val="00892EC5"/>
    <w:rsid w:val="0089382A"/>
    <w:rsid w:val="0089695E"/>
    <w:rsid w:val="008A0552"/>
    <w:rsid w:val="008A1C87"/>
    <w:rsid w:val="008A30BB"/>
    <w:rsid w:val="008A5844"/>
    <w:rsid w:val="008B25B8"/>
    <w:rsid w:val="008B2C1B"/>
    <w:rsid w:val="008B3CD2"/>
    <w:rsid w:val="008C213E"/>
    <w:rsid w:val="008F1650"/>
    <w:rsid w:val="008F6CDA"/>
    <w:rsid w:val="008F72F4"/>
    <w:rsid w:val="00905BEA"/>
    <w:rsid w:val="0091215C"/>
    <w:rsid w:val="00915FED"/>
    <w:rsid w:val="00922812"/>
    <w:rsid w:val="00922A44"/>
    <w:rsid w:val="00924D0B"/>
    <w:rsid w:val="009339A1"/>
    <w:rsid w:val="00934653"/>
    <w:rsid w:val="00935C24"/>
    <w:rsid w:val="00941D7B"/>
    <w:rsid w:val="00951BAD"/>
    <w:rsid w:val="00954C9D"/>
    <w:rsid w:val="00963A49"/>
    <w:rsid w:val="00965B95"/>
    <w:rsid w:val="00966491"/>
    <w:rsid w:val="00975A7D"/>
    <w:rsid w:val="009777EB"/>
    <w:rsid w:val="0098013F"/>
    <w:rsid w:val="009900B6"/>
    <w:rsid w:val="009B5E31"/>
    <w:rsid w:val="009B690F"/>
    <w:rsid w:val="009B7126"/>
    <w:rsid w:val="009B7467"/>
    <w:rsid w:val="009C0B5B"/>
    <w:rsid w:val="009C618E"/>
    <w:rsid w:val="009D07AC"/>
    <w:rsid w:val="009D0B08"/>
    <w:rsid w:val="009E084F"/>
    <w:rsid w:val="009E0F2D"/>
    <w:rsid w:val="009F5A3F"/>
    <w:rsid w:val="00A02D88"/>
    <w:rsid w:val="00A063A6"/>
    <w:rsid w:val="00A1274D"/>
    <w:rsid w:val="00A14880"/>
    <w:rsid w:val="00A14B33"/>
    <w:rsid w:val="00A2134B"/>
    <w:rsid w:val="00A2366A"/>
    <w:rsid w:val="00A24493"/>
    <w:rsid w:val="00A24F4C"/>
    <w:rsid w:val="00A33CE5"/>
    <w:rsid w:val="00A36E36"/>
    <w:rsid w:val="00A47EC2"/>
    <w:rsid w:val="00A578FF"/>
    <w:rsid w:val="00A5798E"/>
    <w:rsid w:val="00A67C69"/>
    <w:rsid w:val="00A801A7"/>
    <w:rsid w:val="00A811C9"/>
    <w:rsid w:val="00A8245A"/>
    <w:rsid w:val="00A90DF0"/>
    <w:rsid w:val="00A93BE6"/>
    <w:rsid w:val="00AA3953"/>
    <w:rsid w:val="00AA7A97"/>
    <w:rsid w:val="00AB0B7E"/>
    <w:rsid w:val="00AB1D18"/>
    <w:rsid w:val="00AC4B4E"/>
    <w:rsid w:val="00AD24AB"/>
    <w:rsid w:val="00AD572E"/>
    <w:rsid w:val="00AE1AC7"/>
    <w:rsid w:val="00AE3D7D"/>
    <w:rsid w:val="00AE4080"/>
    <w:rsid w:val="00AF54D7"/>
    <w:rsid w:val="00B06417"/>
    <w:rsid w:val="00B130DA"/>
    <w:rsid w:val="00B1353F"/>
    <w:rsid w:val="00B23AA5"/>
    <w:rsid w:val="00B23D87"/>
    <w:rsid w:val="00B26E1A"/>
    <w:rsid w:val="00B27CA2"/>
    <w:rsid w:val="00B31FEF"/>
    <w:rsid w:val="00B3248E"/>
    <w:rsid w:val="00B33488"/>
    <w:rsid w:val="00B344A2"/>
    <w:rsid w:val="00B3694A"/>
    <w:rsid w:val="00B4230E"/>
    <w:rsid w:val="00B42D0A"/>
    <w:rsid w:val="00B56039"/>
    <w:rsid w:val="00B5680C"/>
    <w:rsid w:val="00B710C0"/>
    <w:rsid w:val="00B84A03"/>
    <w:rsid w:val="00B87235"/>
    <w:rsid w:val="00B9042F"/>
    <w:rsid w:val="00B937CC"/>
    <w:rsid w:val="00BA4BF7"/>
    <w:rsid w:val="00BB2599"/>
    <w:rsid w:val="00BB72CA"/>
    <w:rsid w:val="00BC12FF"/>
    <w:rsid w:val="00BC5711"/>
    <w:rsid w:val="00BD19BA"/>
    <w:rsid w:val="00BD21DD"/>
    <w:rsid w:val="00BD382D"/>
    <w:rsid w:val="00BE02D9"/>
    <w:rsid w:val="00BE39B5"/>
    <w:rsid w:val="00C05B0C"/>
    <w:rsid w:val="00C1010A"/>
    <w:rsid w:val="00C1422D"/>
    <w:rsid w:val="00C14BE8"/>
    <w:rsid w:val="00C178C0"/>
    <w:rsid w:val="00C20B89"/>
    <w:rsid w:val="00C3322A"/>
    <w:rsid w:val="00C36E84"/>
    <w:rsid w:val="00C371C3"/>
    <w:rsid w:val="00C41247"/>
    <w:rsid w:val="00C41F6E"/>
    <w:rsid w:val="00C525F4"/>
    <w:rsid w:val="00C532AF"/>
    <w:rsid w:val="00C64009"/>
    <w:rsid w:val="00C64912"/>
    <w:rsid w:val="00C64993"/>
    <w:rsid w:val="00C651B0"/>
    <w:rsid w:val="00C86FB0"/>
    <w:rsid w:val="00C871B1"/>
    <w:rsid w:val="00CA23AB"/>
    <w:rsid w:val="00CA61D1"/>
    <w:rsid w:val="00CA64C0"/>
    <w:rsid w:val="00CB54C5"/>
    <w:rsid w:val="00CC2172"/>
    <w:rsid w:val="00CD4B93"/>
    <w:rsid w:val="00CD4D67"/>
    <w:rsid w:val="00CF49C2"/>
    <w:rsid w:val="00CF74DA"/>
    <w:rsid w:val="00D24551"/>
    <w:rsid w:val="00D247BC"/>
    <w:rsid w:val="00D25550"/>
    <w:rsid w:val="00D47191"/>
    <w:rsid w:val="00D509CC"/>
    <w:rsid w:val="00D6146B"/>
    <w:rsid w:val="00D62CA3"/>
    <w:rsid w:val="00D62CD8"/>
    <w:rsid w:val="00D65BAC"/>
    <w:rsid w:val="00D71B61"/>
    <w:rsid w:val="00D71F61"/>
    <w:rsid w:val="00D76359"/>
    <w:rsid w:val="00D80FAE"/>
    <w:rsid w:val="00D83DA7"/>
    <w:rsid w:val="00D87259"/>
    <w:rsid w:val="00D90FCA"/>
    <w:rsid w:val="00D93C42"/>
    <w:rsid w:val="00DA23DD"/>
    <w:rsid w:val="00DA4A09"/>
    <w:rsid w:val="00DA797E"/>
    <w:rsid w:val="00DB2727"/>
    <w:rsid w:val="00DB3655"/>
    <w:rsid w:val="00DB4063"/>
    <w:rsid w:val="00DB5C61"/>
    <w:rsid w:val="00DC0424"/>
    <w:rsid w:val="00DC7F20"/>
    <w:rsid w:val="00DE0182"/>
    <w:rsid w:val="00DE322F"/>
    <w:rsid w:val="00DE76BF"/>
    <w:rsid w:val="00E07917"/>
    <w:rsid w:val="00E16EF5"/>
    <w:rsid w:val="00E17D9D"/>
    <w:rsid w:val="00E348A8"/>
    <w:rsid w:val="00E3706E"/>
    <w:rsid w:val="00E43A68"/>
    <w:rsid w:val="00E57777"/>
    <w:rsid w:val="00E64D48"/>
    <w:rsid w:val="00E6536F"/>
    <w:rsid w:val="00E65FFF"/>
    <w:rsid w:val="00E671FB"/>
    <w:rsid w:val="00E731C5"/>
    <w:rsid w:val="00E84EAD"/>
    <w:rsid w:val="00E878FD"/>
    <w:rsid w:val="00E8796D"/>
    <w:rsid w:val="00E90D23"/>
    <w:rsid w:val="00EA078A"/>
    <w:rsid w:val="00EA2597"/>
    <w:rsid w:val="00EA4C19"/>
    <w:rsid w:val="00EA5A75"/>
    <w:rsid w:val="00ED16B8"/>
    <w:rsid w:val="00ED71E2"/>
    <w:rsid w:val="00ED7F41"/>
    <w:rsid w:val="00EE1A43"/>
    <w:rsid w:val="00EE6AFB"/>
    <w:rsid w:val="00EF5851"/>
    <w:rsid w:val="00EF6D31"/>
    <w:rsid w:val="00EF7513"/>
    <w:rsid w:val="00F02102"/>
    <w:rsid w:val="00F050F3"/>
    <w:rsid w:val="00F113FD"/>
    <w:rsid w:val="00F11EEF"/>
    <w:rsid w:val="00F33071"/>
    <w:rsid w:val="00F411CF"/>
    <w:rsid w:val="00F44FB9"/>
    <w:rsid w:val="00F4628F"/>
    <w:rsid w:val="00F53EAC"/>
    <w:rsid w:val="00F6179E"/>
    <w:rsid w:val="00F636A7"/>
    <w:rsid w:val="00F648E7"/>
    <w:rsid w:val="00F65937"/>
    <w:rsid w:val="00F66D4B"/>
    <w:rsid w:val="00F750B6"/>
    <w:rsid w:val="00F778A9"/>
    <w:rsid w:val="00F80A6E"/>
    <w:rsid w:val="00F837DC"/>
    <w:rsid w:val="00F86F32"/>
    <w:rsid w:val="00F96AB6"/>
    <w:rsid w:val="00FA1991"/>
    <w:rsid w:val="00FA71BB"/>
    <w:rsid w:val="00FB6E8D"/>
    <w:rsid w:val="00FE5D86"/>
    <w:rsid w:val="00FF0519"/>
    <w:rsid w:val="00FF0FD7"/>
    <w:rsid w:val="00FF6069"/>
    <w:rsid w:val="00FF7F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0054B"/>
  <w15:docId w15:val="{E8D3C08E-1B18-0441-B82B-94592A20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9B690F"/>
    <w:pPr>
      <w:keepNext/>
      <w:keepLines/>
      <w:spacing w:before="40" w:after="0"/>
      <w:outlineLvl w:val="1"/>
    </w:pPr>
    <w:rPr>
      <w:rFonts w:ascii="Calibri Light" w:hAnsi="Calibri Light"/>
      <w:color w:val="2E74B5"/>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qFormat/>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rFonts w:cs="Arial"/>
      <w:sz w:val="16"/>
      <w:szCs w:val="16"/>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cs="Tahoma"/>
      <w:sz w:val="16"/>
      <w:szCs w:val="16"/>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B344A2"/>
    <w:rPr>
      <w:sz w:val="20"/>
      <w:szCs w:val="20"/>
    </w:rPr>
  </w:style>
  <w:style w:type="character" w:customStyle="1" w:styleId="TestonotaapidipaginaCarattere">
    <w:name w:val="Testo nota a piè di pagina Carattere"/>
    <w:link w:val="Testonotaapidipagina"/>
    <w:uiPriority w:val="99"/>
    <w:semiHidden/>
    <w:rsid w:val="00B344A2"/>
    <w:rPr>
      <w:rFonts w:ascii="Arial" w:eastAsia="Times New Roman" w:hAnsi="Arial"/>
    </w:rPr>
  </w:style>
  <w:style w:type="paragraph" w:styleId="Paragrafoelenco">
    <w:name w:val="List Paragraph"/>
    <w:basedOn w:val="Normale"/>
    <w:link w:val="ParagrafoelencoCarattere"/>
    <w:uiPriority w:val="34"/>
    <w:qFormat/>
    <w:rsid w:val="00B344A2"/>
    <w:pPr>
      <w:ind w:left="708"/>
    </w:pPr>
  </w:style>
  <w:style w:type="character" w:styleId="Rimandocommento">
    <w:name w:val="annotation reference"/>
    <w:basedOn w:val="Carpredefinitoparagrafo"/>
    <w:uiPriority w:val="99"/>
    <w:semiHidden/>
    <w:unhideWhenUsed/>
    <w:rsid w:val="00CD4D67"/>
    <w:rPr>
      <w:sz w:val="16"/>
      <w:szCs w:val="16"/>
    </w:rPr>
  </w:style>
  <w:style w:type="paragraph" w:styleId="Testocommento">
    <w:name w:val="annotation text"/>
    <w:basedOn w:val="Normale"/>
    <w:link w:val="TestocommentoCarattere"/>
    <w:uiPriority w:val="99"/>
    <w:semiHidden/>
    <w:unhideWhenUsed/>
    <w:rsid w:val="00CD4D67"/>
    <w:rPr>
      <w:sz w:val="20"/>
      <w:szCs w:val="20"/>
    </w:rPr>
  </w:style>
  <w:style w:type="character" w:customStyle="1" w:styleId="TestocommentoCarattere">
    <w:name w:val="Testo commento Carattere"/>
    <w:basedOn w:val="Carpredefinitoparagrafo"/>
    <w:link w:val="Testocommento"/>
    <w:uiPriority w:val="99"/>
    <w:semiHidden/>
    <w:rsid w:val="00CD4D67"/>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D4D67"/>
    <w:rPr>
      <w:b/>
      <w:bCs/>
    </w:rPr>
  </w:style>
  <w:style w:type="character" w:customStyle="1" w:styleId="SoggettocommentoCarattere">
    <w:name w:val="Soggetto commento Carattere"/>
    <w:basedOn w:val="TestocommentoCarattere"/>
    <w:link w:val="Soggettocommento"/>
    <w:uiPriority w:val="99"/>
    <w:semiHidden/>
    <w:rsid w:val="00CD4D67"/>
    <w:rPr>
      <w:rFonts w:ascii="Arial" w:eastAsia="Times New Roman" w:hAnsi="Arial"/>
      <w:b/>
      <w:bCs/>
    </w:rPr>
  </w:style>
  <w:style w:type="character" w:customStyle="1" w:styleId="Titolo2Carattere">
    <w:name w:val="Titolo 2 Carattere"/>
    <w:basedOn w:val="Carpredefinitoparagrafo"/>
    <w:link w:val="Titolo2"/>
    <w:uiPriority w:val="9"/>
    <w:semiHidden/>
    <w:rsid w:val="009B690F"/>
    <w:rPr>
      <w:rFonts w:ascii="Calibri Light" w:eastAsia="Times New Roman" w:hAnsi="Calibri Light"/>
      <w:color w:val="2E74B5"/>
      <w:sz w:val="26"/>
      <w:szCs w:val="26"/>
    </w:rPr>
  </w:style>
  <w:style w:type="paragraph" w:customStyle="1" w:styleId="a5bElencopuntatolettere">
    <w:name w:val="a5b) Elenco puntato lettere"/>
    <w:basedOn w:val="Normale"/>
    <w:rsid w:val="009B690F"/>
    <w:pPr>
      <w:widowControl/>
      <w:numPr>
        <w:numId w:val="8"/>
      </w:numPr>
      <w:spacing w:after="0" w:line="360" w:lineRule="auto"/>
    </w:pPr>
    <w:rPr>
      <w:rFonts w:ascii="Tahoma" w:hAnsi="Tahoma" w:cs="Tahoma"/>
      <w:szCs w:val="22"/>
    </w:rPr>
  </w:style>
  <w:style w:type="paragraph" w:styleId="Revisione">
    <w:name w:val="Revision"/>
    <w:hidden/>
    <w:uiPriority w:val="99"/>
    <w:semiHidden/>
    <w:rsid w:val="000027AF"/>
    <w:rPr>
      <w:rFonts w:ascii="Arial" w:eastAsia="Times New Roman" w:hAnsi="Arial"/>
      <w:sz w:val="22"/>
      <w:szCs w:val="24"/>
    </w:rPr>
  </w:style>
  <w:style w:type="character" w:customStyle="1" w:styleId="ParagrafoelencoCarattere">
    <w:name w:val="Paragrafo elenco Carattere"/>
    <w:link w:val="Paragrafoelenco"/>
    <w:uiPriority w:val="34"/>
    <w:qFormat/>
    <w:rsid w:val="008654FB"/>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7474504">
      <w:bodyDiv w:val="1"/>
      <w:marLeft w:val="0"/>
      <w:marRight w:val="0"/>
      <w:marTop w:val="0"/>
      <w:marBottom w:val="0"/>
      <w:divBdr>
        <w:top w:val="none" w:sz="0" w:space="0" w:color="auto"/>
        <w:left w:val="none" w:sz="0" w:space="0" w:color="auto"/>
        <w:bottom w:val="none" w:sz="0" w:space="0" w:color="auto"/>
        <w:right w:val="none" w:sz="0" w:space="0" w:color="auto"/>
      </w:divBdr>
    </w:div>
    <w:div w:id="19164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pagina/criteri-vigo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FB7A4-C4E0-D941-ABF9-4871B9A2E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991</Words>
  <Characters>5651</Characters>
  <Application>Microsoft Office Word</Application>
  <DocSecurity>0</DocSecurity>
  <Lines>47</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6629</CharactersWithSpaces>
  <SharedDoc>false</SharedDoc>
  <HLinks>
    <vt:vector size="24" baseType="variant">
      <vt:variant>
        <vt:i4>1048589</vt:i4>
      </vt:variant>
      <vt:variant>
        <vt:i4>6</vt:i4>
      </vt:variant>
      <vt:variant>
        <vt:i4>0</vt:i4>
      </vt:variant>
      <vt:variant>
        <vt:i4>5</vt:i4>
      </vt:variant>
      <vt:variant>
        <vt:lpwstr>http://www.regione.puglia.it/</vt:lpwstr>
      </vt:variant>
      <vt:variant>
        <vt:lpwstr/>
      </vt:variant>
      <vt:variant>
        <vt:i4>1048589</vt:i4>
      </vt:variant>
      <vt:variant>
        <vt:i4>3</vt:i4>
      </vt:variant>
      <vt:variant>
        <vt:i4>0</vt:i4>
      </vt:variant>
      <vt:variant>
        <vt:i4>5</vt:i4>
      </vt:variant>
      <vt:variant>
        <vt:lpwstr>http://www.regione.puglia.it/</vt:lpwstr>
      </vt:variant>
      <vt:variant>
        <vt:lpwstr/>
      </vt:variant>
      <vt:variant>
        <vt:i4>1048589</vt:i4>
      </vt:variant>
      <vt:variant>
        <vt:i4>0</vt:i4>
      </vt:variant>
      <vt:variant>
        <vt:i4>0</vt:i4>
      </vt:variant>
      <vt:variant>
        <vt:i4>5</vt:i4>
      </vt:variant>
      <vt:variant>
        <vt:lpwstr>http://www.regione.puglia.it/</vt:lpwstr>
      </vt:variant>
      <vt:variant>
        <vt:lpwstr/>
      </vt:variant>
      <vt:variant>
        <vt:i4>6488078</vt:i4>
      </vt:variant>
      <vt:variant>
        <vt:i4>3</vt:i4>
      </vt:variant>
      <vt:variant>
        <vt:i4>0</vt:i4>
      </vt:variant>
      <vt:variant>
        <vt:i4>5</vt:i4>
      </vt:variant>
      <vt:variant>
        <vt:lpwstr>http://www.google.it/url?sa=i&amp;rct=j&amp;q=&amp;esrc=s&amp;source=images&amp;cd=&amp;cad=rja&amp;uact=8&amp;ved=0CAcQjRxqFQoTCJynrfOFiMkCFQo5FAodylkA1A&amp;url=http://www.sviluppoeconomico.gov.it/&amp;psig=AFQjCNGuWaxX7y7QSxLKJoGJhQWc9s_-Kw&amp;ust=1447320137756680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Magarò</dc:creator>
  <cp:lastModifiedBy>Microsoft Office User</cp:lastModifiedBy>
  <cp:revision>7</cp:revision>
  <cp:lastPrinted>2017-06-16T16:38:00Z</cp:lastPrinted>
  <dcterms:created xsi:type="dcterms:W3CDTF">2020-07-08T10:06:00Z</dcterms:created>
  <dcterms:modified xsi:type="dcterms:W3CDTF">2020-10-09T08:38:00Z</dcterms:modified>
</cp:coreProperties>
</file>